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A/413/2025 vom 9. September 2025</w:t>
      </w:r>
    </w:p>
    <w:p>
      <w:r>
        <w:t>GE Cour de justice, 2025-09-09, FR</w:t>
      </w:r>
    </w:p>
    <w:p>
      <w:r>
        <w:rPr>
          <w:b/>
        </w:rPr>
        <w:t xml:space="preserve">Quelle: </w:t>
      </w:r>
      <w:r>
        <w:t>https://mcp.opencaselaw.ch/entscheid/ge_gerichte_A_413_2025</w:t>
      </w:r>
    </w:p>
    <w:p>
      <w:r>
        <w:t>FR: GE_GERICHTE A/413/2025 du 9 septembre 2025</w:t>
      </w:r>
    </w:p>
    <w:p>
      <w:r>
        <w:t>IT: GE_GERICHTE A/413/2025 del 9 settembre 2025</w:t>
      </w:r>
    </w:p>
    <w:p>
      <w:pPr>
        <w:pStyle w:val="Heading2"/>
      </w:pPr>
      <w:r>
        <w:t>Erwägungen</w:t>
      </w:r>
    </w:p>
    <w:p>
      <w:r>
        <w:rPr>
          <w:b/>
        </w:rPr>
        <w:t>E. 2</w:t>
      </w:r>
    </w:p>
    <w:p>
      <w:r>
        <w:t>La recourante soutient qu’elle remplit les conditions de l’art. 50 al. 1 LEI permettant de prolonger son autorisation de séjour.</w:t>
      </w:r>
    </w:p>
    <w:p>
      <w:r>
        <w:rPr>
          <w:b/>
        </w:rPr>
        <w:t>E. 2.1</w:t>
      </w:r>
    </w:p>
    <w:p>
      <w:r>
        <w:t>Outre les hypothèses retenues à l’art. 50 al. 1 let. a LEI suppsant l’existence d’une union conjugale ayant duré au moins trois ans – hypothèse non réalisée en l’espèce –,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ATA/215/2020 du 25 février 2020 consid. 6a).</w:t>
      </w:r>
    </w:p>
    <w:p>
      <w:r>
        <w:rPr>
          <w:b/>
        </w:rPr>
        <w:t>E. 2.2</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à la suite de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rPr>
          <w:b/>
        </w:rPr>
        <w:t>E. 2.3</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sa durée, ainsi que les pressions subjectives qui en résultent (arrêts du Tribunal fédéral 2C_465/2023 du 6 mars 2024 consid. 4.1 ; 2C_693/2019 du 21 janvier 2020 consid. 4.4). Des affirmations d’ordre général ou des indices faisant état de tensions ponctuelles sont insuffisants (ATF 138 II 229 consid. 3.2.3 ; arrêts du Tribunal fédéral 2C_12/2018 précité consid. 3.2 ; 2C_401/2018 du 17 septembre 2018 consid. 4.2). 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2.4</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ou l’oppression domestique alléguée. En particulier, il lui incombe d’illustrer de façon concrète et objective, ainsi que d’établir par preuves le caractère systématique de la maltraitance, sa durée, ainsi que les pressions subjectives qui en résultent (art. 77 al. 6 et 6bis OASA et arrêts du Tribunal fédéral 2C_465/2023 du 6 mars 2024 consid. 4.1 ; 2C_693/2019 du 21 janvier 2020 consid. 4.4 et 2C_68/2017 du 29 novembre 2017 consid. 5.4.1). L’art. 50 al. 2 LEI n’exige toutefois pas la preuve stricte de la maltraitance, mais se contente d’un faisceau d’indices suffisants (arrêts du Tribunal fédéral 2C_593/2019 du 11 juillet 2019 consid. 5.2 ; 2C_196/2014 du 19 mai 2014 consid. 3.4) voire d’un certain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2.5</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ATA/466/2023 du 2 mai 2023 consid. 4.7 et l'arrêt cité).</w:t>
      </w:r>
    </w:p>
    <w:p>
      <w:r>
        <w:rPr>
          <w:b/>
        </w:rPr>
        <w:t>E. 2.5.1</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juin 2024, ch. 5.6.10 [ci-après : directives LEI] ; ATA/340/2020 du 7 avril 2020 consid. 8a).</w:t>
      </w:r>
    </w:p>
    <w:p>
      <w:r>
        <w:rPr>
          <w:b/>
        </w:rPr>
        <w:t>E. 2.5.2</w:t>
      </w:r>
    </w:p>
    <w:p>
      <w:r>
        <w:t>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w:t>
      </w:r>
    </w:p>
    <w:p>
      <w:r>
        <w:rPr>
          <w:b/>
        </w:rPr>
        <w:t>E. 2.5.3</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ATA/764/2024 du 25 juin 2024 consid. 3.6).</w:t>
      </w:r>
    </w:p>
    <w:p>
      <w:r>
        <w:rPr>
          <w:b/>
        </w:rPr>
        <w:t>E. 2.5.4</w:t>
      </w:r>
    </w:p>
    <w:p>
      <w:r>
        <w:t>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2.6</w:t>
      </w:r>
    </w:p>
    <w:p>
      <w:r>
        <w:t>En l’espèce, les pièces produites par la recourante à l’appui de son allégation des violences conjugales psychiques d’une certaine intensité sont les rapports des HUG des 12 décembre 2022 et 12 juillet 2024. Le premier rapport des HUG fait état, dans l’anamnèse, de problèmes que la recourante rencontre avec son mari, qu’il y a des conflits toutes les deux semaines, qu’elle se sent émotionnellement maltraitée par lui, qu’elle se sent désespérée, ayant l’impression que son mari lui « vole » son sommeil, sa vie et qu’elle est déjà partie à trois reprises, mais revenue à chaque fois. Le second indique que la recourante a consulté l’unité de médecine et de prévention de la violence les 4, 11 et 25 janvier 2023. Selon la patiente, peu après le mariage, elle avait quitté le foyer conjugal pour 24 heures, car son mari était en colère pour des broutilles, l’avait injuriée, lui avait manqué de respect et fait des injonctions et des reproches. Quand elle était revenue, il s’était à nouveau très bien comporté. Quelques mois plus tard, un nouvel épisode était survenu, comportant des hurlements, injures, une attitude corporelle menaçante ; elle avait eu peur. Son mari voulait l’obliger à lui demander pardon pour une chose qu’elle n’avait pas faite. À la suite de cet épisode, il ne lui avait, pendant cinq jours, plus adressé la parole et laissé les stores de l’appartement baissés. En juillet 2022, elle avait à nouveau quitté le domicile conjugal pour une période d’un mois. Ce rapport constate une thymie triste, une labilité émotionnelle, une fatigue psychique et physique, un sentiment de dévalorisation, des ruminations anxieuses, une baisse de l’appétit et des troubles du sommeil. La patiente indiquait vouloir retourner en Colombie et avoir le projet d’être hébergée par sa fille et de travailler avec elle dans le cabinet de manucure. La recourante a encore produit des attestations d’un suivi médical en Colombie, établies entre avril et juillet 2023, qui ne font cependant pas état de violences conjugales. L’intéressée n’a produit aucune autre pièce, telle une attestation d’amis, de membres de la communauté religieuse qu’elle indique fréquenter, de voisins ou de ses enfants faisant état des violences verbales conjugales dont ils auraient été témoins directs ou indirects. Elle n’a pas non plus indiqué avoir déposé plainte pénale. Au vu des pièces produites et explications données par la recourante, il n’y a aucun doute sur le fait que les relations avec son mari ont, rapidement après le mariage, été conflictuelles et disharmonieuses. Les allégations de la recourante, rapportées dans les documents médicaux produits, ne sont cependant pas comparables à des situations d'oppression domestique systématique ou d’humiliations constantes se rapprochant de l’intensité de violence verbale nécessaire pour bénéficier de l’octroi d’un titre de séjour au titre de l’application de l’art. 50 al. 1 let. b LEI. Par ailleurs, il ne peut être considéré que l’intégration socio-professionnelle de la recourante serait particulièrement remarquable. Celle-ci ne soutient pas s’être investie dans la vie culturelle, associative ou sociale à Genève. Elle ne fait pas non plus état de liens d’amitié particulièrement forts qu’elle aurait tissés à Genève. Son activité dans le domaine de l’hôtellerie ne témoigne pas non plus d’une intégration professionnelle extraordinaire. Enfin, la recourante n’établit pas que sa réintégration dans son pays d’origine serait fortement compromise. Arrivée en Suisse à l’âge de 43 ans, elle a vécu toute son enfance, son adolescence et une partie de sa vie d’adulte en Colombie. Elle en connaît ainsi les us et coutumes. Elle y est retournée pendant environ trois mois en 2023 et y a conservé des liens familiaux puisque ses trois enfants adultes y vivent. Ces éléments faciliteront sa réintégration sociale. Rien ne permet non plus de considérer qu’elle ne serait pas en mesure de se réintégrer professionnellement, compte tenu de son âge (49 ans) et de son expérience professionnelle dans le domaine de l’hôtellerie, étant précisé qu’elle pourra mettre à profit les connaissances de la langue française acquises durant son séjour en Suisse. Au vu de ce qui précède, l’OCPM n’a ni violé la loi ni abusé de son pouvoir d’appréciation en refusant d’octroyer à la recourante une autorisation de séjour.</w:t>
      </w:r>
    </w:p>
    <w:p>
      <w:r>
        <w:rPr>
          <w:b/>
        </w:rPr>
        <w:t>E. 3</w:t>
      </w:r>
    </w:p>
    <w:p>
      <w:r>
        <w:t>Reste à examiner la légalité du renvoi de Suisse de l’intéressée.</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3.2</w:t>
      </w:r>
    </w:p>
    <w:p>
      <w:r>
        <w:t>En l’espèce, dès lors qu’il a, à juste titre, refusé l’octroi d’une autorisation de séjour à la recourante, l’intimé devait prononcer son renvoi. Par ailleurs, rien ne permet de retenir que l’exécution du renvoi ne serait pas possible, licite ou raisonnablement exigible. En tous points mal fondé, le recours sera rejeté.</w:t>
      </w:r>
    </w:p>
    <w:p>
      <w:r>
        <w:rPr>
          <w:b/>
        </w:rPr>
        <w:t>E. 4</w:t>
      </w:r>
    </w:p>
    <w:p>
      <w:r>
        <w:t>Vu l’issue du litige, un émolument de CHF 400.- sera mis à la charge de la recourante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