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A/4136/2023 vom 12. Dezember 2024</w:t>
      </w:r>
    </w:p>
    <w:p>
      <w:r>
        <w:t>GE Cour de justice, 2024-12-12, FR</w:t>
      </w:r>
    </w:p>
    <w:p>
      <w:r>
        <w:rPr>
          <w:b/>
        </w:rPr>
        <w:t xml:space="preserve">Quelle: </w:t>
      </w:r>
      <w:r>
        <w:t>https://mcp.opencaselaw.ch/entscheid/ge_gerichte_A_4136_2023</w:t>
      </w:r>
    </w:p>
    <w:p>
      <w:r>
        <w:t>FR: GE_GERICHTE A/4136/2023 du 12 décembre 2024</w:t>
      </w:r>
    </w:p>
    <w:p>
      <w:r>
        <w:t>IT: GE_GERICHTE A/4136/2023 del 12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Se pose préalablement la question de l’éventuel appel en cause de l’Hospice général, sollicité par le recourant au motif que c’est l’Hospice qui l’a incité à déposer une demande de prestations, d’une part, et que l’Hospice serait susceptible d’être touché par la décision de l’OAI, d’autre part.</w:t>
      </w:r>
    </w:p>
    <w:p>
      <w:r>
        <w:rPr>
          <w:b/>
        </w:rPr>
        <w:t>E. 2.1</w:t>
      </w:r>
    </w:p>
    <w:p>
      <w:r>
        <w:t>À teneur de l’art. 71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 de décisions ou jugements contradictoires. Le tiers appelé en cause doit naturellement posséder la capacité d’être partie et la capacité d’ester (cf. arrêt du Tribunal fédéral des assurances B 47/02 du 25 août 2003 consid. 3.2.1).</w:t>
      </w:r>
    </w:p>
    <w:p>
      <w:r>
        <w:rPr>
          <w:b/>
        </w:rPr>
        <w:t>E. 2.2</w:t>
      </w:r>
    </w:p>
    <w:p>
      <w:r>
        <w:t>En l’occurrence, il n’apparaît pas utile d’appeler l’Hospice général en cause. En premier lieu, le fait qu’il ait incité l’assuré à déposer une demande de prestations auprès de l’OAI n’est pas pertinent. Le recourant ne saurait en effet en tirer le moindre argument quant à sa capacité de travail, sa capacité de gain, le degré de son invalidité, voire même son droit aux prestations, l’instruction de ces questions revenant à l’assurance-invalidité et à elle seule. En second lieu, le fait que l’Hospice général, puisse, cas échéant, demander le remboursement des avances versées au recourant, ne suffit pas à justifier son appel en cause, dès lors que, quoi qu’il en soit, en vertu de la loi, la décision en matière d’assurance-invalidité lui sera opposable. Il n’existe par ailleurs aucun risque qu’une autre procédure sur les mêmes questions litigieuses soit menée par l’Hospice général, celui-ci n’ayant aucune compétence en la matière. La requête préalable du recourant est donc écartée.</w:t>
      </w:r>
    </w:p>
    <w:p>
      <w:r>
        <w:rPr>
          <w:b/>
        </w:rPr>
        <w:t>E. 3</w:t>
      </w:r>
    </w:p>
    <w:p>
      <w:r>
        <w:t>L’objet du litige porte sur le droit du recourant à une rente d’invalidité, étant relevé que l’intéressé ne conclut pas à l’octroi d’une mesure professionnelle.</w:t>
      </w:r>
    </w:p>
    <w:p>
      <w:r>
        <w:rPr>
          <w:b/>
        </w:rPr>
        <w:t>E. 4.1</w:t>
      </w:r>
    </w:p>
    <w:p>
      <w:r>
        <w:t>Le 1 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4.2</w:t>
      </w:r>
    </w:p>
    <w:p>
      <w:r>
        <w:t>En l’occurrence, la décision querellée concerne un premier octroi de rente dont le droit – s’il était reconnu – naîtrait avant le 31 décembre 2021. En conséquence, les dispositions légales applicables seront citées, ci-après, dans leur ancienne teneur.</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5.2.1</w:t>
      </w:r>
    </w:p>
    <w:p>
      <w:r>
        <w:t>La reconnaissance de l’existence d’une atteinte à la santé psychique suppose la présence d’un diagnostic émanant d’un expert (psychiatre) et s’appuyant selon les règles de l’art sur les critères d’un système de classification reconnu, telle la classification internationale des maladies (ci-après : CIM) ou le DSM-IV (Diagnostic and Statiscal Manual ; ATF 143 V 409 consid. 4.5.2 ; 141 V 281 consid. 2.1 et 2.1.1 ; 130 V 396 consid. 5.3 et 6).</w:t>
      </w:r>
    </w:p>
    <w:p>
      <w:r>
        <w:rPr>
          <w:b/>
        </w:rPr>
        <w:t>E. 5.2.2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5.2.3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5.2.2 et la référence).</w:t>
      </w:r>
    </w:p>
    <w:p>
      <w:r>
        <w:rPr>
          <w:b/>
        </w:rPr>
        <w:t>E. 5.2.4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5.2.5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la référence ; 9C_724/2018 du 11 juillet 2019 consid. 7). En l’absence d’un diagnostic psychiatrique, une telle appréciation n’a pas non plus à être effectuée (arrêt du Tribunal fédéral 9C_176/2018 du 16 août 2018 consid. 3.2.2).</w:t>
      </w:r>
    </w:p>
    <w:p>
      <w:r>
        <w:rPr>
          <w:b/>
        </w:rPr>
        <w:t>E. 6.1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 ème anniversaire de l’assuré (art. 29 al. 1 LAI).</w:t>
      </w:r>
    </w:p>
    <w:p>
      <w:r>
        <w:rPr>
          <w:b/>
        </w:rPr>
        <w:t>E. 6.2.1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6.2.2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w:t>
      </w:r>
    </w:p>
    <w:p>
      <w:r>
        <w:rPr>
          <w:b/>
        </w:rPr>
        <w:t>E. 6.2.3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6.2.4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Selon la jurisprudence,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w:t>
      </w:r>
    </w:p>
    <w:p>
      <w:r>
        <w:rPr>
          <w:b/>
        </w:rPr>
        <w:t>E. 6.2.5</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6.2.6</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 Michel VALTERIO, Droit de l’assurance-vieillesse et survivants [AVS] et de l’assurance-invalidité [AI], Commentaire thématique, p. 563-564 n. 2112).</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7.3.2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8</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9.3</w:t>
      </w:r>
    </w:p>
    <w:p>
      <w:r>
        <w:t>En l’espèce, il convient de rappeler que le droit à une rente éventuelle a été examiné au 1 er décembre 2021, la demande de prestations n’ayant été déposée qu’en juin 2021. La décision litigieuse, fondée sur l’examen des médecins du SMR, retient qu’à compter du 22 février 2021, l’assuré était apte à exercer à 60% une activité adaptée. Le recourant conteste en premier lieu les conclusions des experts.</w:t>
      </w:r>
    </w:p>
    <w:p>
      <w:r>
        <w:rPr>
          <w:b/>
        </w:rPr>
        <w:t>E. 9.4</w:t>
      </w:r>
    </w:p>
    <w:p>
      <w:r>
        <w:t>Il convient dès lors d’examiner la valeur probante du rapport des médecins du SMR, contestée par le recourant. La Cour de céans constate en premier lieu que ce rapport a été rendu en pleine connaissance du dossier, qu’il comporte une anamnèse et un status rhumatologique et psychiatrique fouillés, qu’il se fait l’écho des plaintes de l’assuré, que les diagnostics et les conclusions sont bien motivés et que le volet psychiatrique est articulé autour de la grille d’analyse structurée prévue par la jurisprudence. Aussi convient-il en principe d’en reconnaître la valeur probante. Il ressort en synthèse de ce rapport qu’en l’absence de limitation fonctionnelle d’ordre psychique, seuls les diagnostics relatifs aux atteintes somatiques ont été reconnus comme ayant des répercussions sur la capacité de travail. Sur le plan psychique, le médecin psychiatre n’a retenu aucun diagnostic invalidant, ce dont le recourant lui fait grief. Cela étant, force est de constater que le médecin psychiatre s’est livré à une anamnèse détaillée, familiale, scolaire et professionnelle, à une description du contexte psychosocial, psychiatrique, ainsi que de sa vie quotidienne. À l’examen de cette dernière, il a constaté que l’assuré conservait des ressources physiques pour des tâches légères. Il a été relevé que l’assuré se plaignait principalement de ses douleurs, fluctuantes en fonction des circonstances, et d’une fatigue variant de la même manière, ainsi que d’une humeur triste, fluctuante elle aussi, et de troubles du sommeil. Le diagnostic retenu a été celui d’une simple dysthymie. À cet égard, le médecin a expliqué que l’assuré présente une dépression chronique de l’humeur dont la sévérité est insuffisante pour pouvoir poser un autre diagnostic de la catégorie des troubles dépressifs. Si l’anamnèse et le rapport du Dr E______ mettaient en évidence une humeur triste chronique depuis le retour de l’assuré en Suisse, en 2014, il n’avait pas été objectivé, lors de l’anamnèse, de périodes prolongées où l’assuré aurait présenté une diminution des intérêts et du plaisir et une réduction de l’énergie supérieure à deux semaines. L’humeur triste était fluctuante en fonction des circonstances, mais durable. La perte d’espoir, les ruminations sur le passé, la diminution de la confiance en soi, elles aussi variables, ainsi que le discours plaintif complétaient de façon cohérente le diagnostic de dysthymie. Le médecin psychiatre, au vu de l’anamnèse, du rapport médical du Dr E______ et de l’absence d’un nombre suffisant de critères majeurs permettant de poser un diagnostic d’épisode dépressif, a considéré que l’assuré avait présenté, à la suite d’événements stressants (échec du projet d’installation aux Philippines, conflit avec perspective de séparation avec son épouse du moment, séparation avec ses quatre derniers enfants restés aux Philippines, difficultés significatives de retrouver une activité professionnelle en Suisse), un trouble de l’adaptation avec réaction dépressive prolongée durant les deux ans ayant suivi son retour en Suisse. Cet état s’était poursuivi par une dysthymie, le diagnostic de trouble de l’adaptation avec réaction dépressive prolongée ne pouvant être posé selon la CIM-10 après deux ans d’évolution. Depuis 2014, il n’avait pas été objectivé d’altération significative des centres d’intérêts. Quant au diagnostic de troubles mentaux et troubles du comportement liés à l’utilisation d’alcool, il a été précisé que la consommation abusive d’alcool quotidienne avait pris fin trois ans avant l’examen. Le diagnostic de trouble dépressif récurrent épisode moyen retenu par le Dr E______ a été écarté au motif que l’anamnèse et le status n’avaient pas permis de mettre en évidence une diminution des intérêts et du plaisir ainsi qu’une réduction de l’énergie prolongée supérieure à deux semaines au moins. Le diagnostic de trouble somatoforme a également été écarté, au motif que l’assuré présentait effectivement des atteintes somatiques, dont le vécu subjectif était probablement majoré par le discours plaintif en lien avec la dysthymie. Les éléments recueillis dans le contexte psychosocial et la vie quotidienne permettaient de constater que les ressources disponibles ou mobilisables de l’assuré, ainsi que son autonomie dans la vie quotidienne étaient globalement conservées. En effet, l’assuré, en Suisse depuis l’âge de 14 ans, est bien intégré dans son quartier et sa communauté. Il est polyglotte et a de bonnes aptitudes de communication. Il est en capacité de conduire une voiture et d’utiliser les transports publics. Il a une relation de qualité avec son épouse, ses enfants, ses frères et sœurs, qui sont « soutenants » moralement et financièrement. Il est apprécié par les gens qu’il côtoie, en particulier dans son quartier. Il se rend régulièrement à la messe. Son logement est satisfaisant. Il se rend au moins une fois par an aux Philippines. Il a été capable de créer et maintenir une relation à distance pendant plusieurs années, qui a abouti à un mariage en juillet 2022. Il peut réaliser certaines activités ménagères, la cuisine et les courses en partenariat avec son épouse. Il prend plaisir à partager des moments de discussion ou des balades avec ses frères et sœurs, enfants et épouse, à cuisiner, à s’informer, à regarder des films et à suivre la Coupe du monde. En définitive, sur le plan psychiatrique, il a été constaté que la capacité de travail avait été durablement conservée. Il n’y avait pas d’élément significatif objectivable montrant une mauvaise coopération de l’assuré dans son traitement. Sur le plan psychiatrique, le pronostic était bon. Ainsi, le médecin psychiatre a discuté de manière détaillée et convaincante ses conclusions. On relèvera que le recourant n’amène aucun élément objectif permettant d’en douter. D’ailleurs, son médecin-traitant, en septembre 2021, soulignait que l’assuré n’était selon lui plus en arrêt de travail, l’asthénie ayant été améliorée sous traitement et grâce à la régulation de la glycémie. Il a même émis l’avis que l’exercice d’une activité lucrative pourrait être bénéfique à son patient. Quant au Dr E______, il a également fait état d’une amélioration partielle de son patient sous traitement et retenu une capacité de travail de 50%, qui, si elle diffère de celle de 100% retenue par le médecin du SMR, est similaire à celle de 60% finalement admise globalement. On notera à cet égard que le psychiatre-traitant semble justifier cette capacité davantage par l’épuisement consécutif aux douleurs que par un trouble psychique à proprement parler. Sur le plan somatique, les médecins du SMR ont relevé que l’examen neurologique était normal, sans signe de compression radiculaire ni de polyneuropathie. Au niveau des épaules, la mobilité était complète, douloureuse en fin d’amplitude. Au niveau du rachis, de légers troubles statiques avec une légère augmentation de la cyphose dorsale ont été relevés. La recherche de fibromyalgie s’est révélée négative. Là encore, les médecins ont livré une description détaillée du statut général, neurologique et ostéoarticulaire. Ils se sont basés sur le dossier radiologique, en particulier une IRM cervico-dorso-lombaires du 8 mars 2018, des radiographie et échographie du coude gauche du 14 mai 2020, des radiographies de l’épaule droite du 14 mai 2020, des radiographies des pieds du 8 juillet 2020, un examen du coude droit du 18 août 2020, une IRM de l’épaule gauche du 22 février 2021, des radiographies de la main gauche du 15 septembre 2021, un examen des épaules du 26 janvier 2022 et une IRM de la colonne lombaire du 15 février 2022. Ont été finalement retenus à titre de diagnostics invalidants : des omalgies gauches chroniques dans un contexte de rupture transfixiante du supra épineux et vraisemblable conflit sous-acromial, des cervicalgies chroniques, non déficitaires, dans un contexte de protrusion C5-C6, des omalgies droites dans un contexte de pré-arthrose gléno-humérale, enthésopathie ossifiante du supra et de l’infra épineux, arthrose acromio-claviculaire, une arthrose radio-humérale gauche débutante, un valgus marqué des genoux, des pieds plats bilatéraux, des lombalgies basses chroniques dans un contexte de protrusion circonférentielle L5-S1 avec troubles dégénératifs postérieurs L5-S1 et troubles dégénératifs des articulations sacro-iliaques. Ont également été mentionnés, en précisant qu’ils étaient sans répercussions sur la capacité de travail : une minime enthésopathie calcifiante sur les muscles radiaux et une obésité. Les experts ont constaté de concert l’absence de déficit sensitivomoteur. Ils ont par ailleurs constaté des divergences significatives entre les plaintes de l’assuré et son comportement durant l’examen. Par exemple, il a montré peu d’attitudes antalgiques objectivables, ce qui était en décalage avec l’intensité et la fréquence importante des douleurs rapportées. Il n’a pas non plus été retrouvé de manque d’énergie au cours de l’examen, ce qui était en décalage avec le vécu subjectif de fatigue intense et permanente décrite par l’assuré. Des divergences ont été notées entre les plaintes de l’assuré, d’une part, et la préservation des intérêts et les tâches quotidiennes, d’autre part. Contrairement à ce qu’allègue le recourant, les médecins ont tenu compte des différentes atteintes ostéoarticulaires, qui les ont conduits à retenir de nombreuses limitations en lien avec la nécessité d’épargner les épaules, le rachis cervical, le rachis lombaire et les membres inférieurs. Là encore, on relèvera que le recourant n’amène aucun élément médical objectif (atteinte ou limitation) qui aurait été ignoré par le SMR. En réalité, il se contente de souligner le temps qui s’est écoulé entre le rapport du SMR et la décision litigieuse et de faire une extrapolation théorique de la péjoration de son état de santé, arguant que, puisque sa capacité de travail est passée de 100% en septembre 2018 à 60% en février 2021, soit une chute de 40% en 27 mois, il faudrait admettre une diminution de 2% par mois en moyenne. Or, à aucun moment, le recourant n’apporte la démonstration concrète que son état aurait continué à se péjorer de telle manière postérieurement au rapport du SMR. Au contraire, il ressort de certains des documents d’imagerie qu’il a produits que la situation n’a guère évolué par rapport aux examens précédents (on parle même de situation « moins évolutive que précédemment » ou encore d’évolution stable). En définitive, que ce soit sur le plan psychique ou physique, le recourant n’apporte aucun élément objectivement vérifiable de nature clinique ou diagnostique qui aurait été ignoré dans le cadre de l’examen du SMR et qui serait suffisamment pertinent pour remettre en cause le bien-fondé des conclusions des médecins ou établir le caractère incomplet de leur rapport. Dans ces conditions, il n’y a pas lieu de s’écarter des conclusions des médecins du SMR. Partant, il convient de retenir qu’il est établi, au degré de la vraisemblance prépondérante requise, que les atteintes présentées par l’intéressé ont réduit sa capacité de travail à 60% à compter de février 2021.</w:t>
      </w:r>
    </w:p>
    <w:p>
      <w:r>
        <w:rPr>
          <w:b/>
        </w:rPr>
        <w:t>E. 10</w:t>
      </w:r>
    </w:p>
    <w:p>
      <w:r>
        <w:t>Reste à examiner le calcul du degré d’invalidité. Le recourant ne conteste pas le montant retenu à titre de revenu avant invalidité. Qui plus est, la Cour de céans constate qu’il est favorable au recourant, dans la mesure où le revenu réalisé dans le domaine des transports est inférieur à celui qui ressort des statistiques si l’on se basait sur le revenu réalisable tous secteurs confondus. Quant au revenu d’invalide, le recourant se contente d’alléguer que si une activité adaptée est admise, elle ne saurait l’être de façon « purement abstraite et sans aucune précision ». C’est le lieu de rappeler que, selon la jurisprudence citée supra,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En l’espèce, le recourant n’établit pas en quoi des activités simples ne seraient pas exigibles de sa part au vu des limitations retenues. Il n’y a dès lors pas lieu, dans ce contexte, d’examiner dans quelle mesure la situation concrète du marché du travail lui permettrait de retrouver un emploi. C’est à tort que le recourant fait grief à l’intimé de ne pas avoir procédé au calcul du degré d’invalidité en tenant compte d’une capacité de travail de 60%. En effet, même s’il est vrai que la décision litigieuse se montre trompeuse et lacunaire à cet égard - dans la mesure où elle ne précise pas le taux d’occupation -, il ressort des plans de calcul détaillés établis par la division de réadaptation de l’intimé figurant au dossier que c’est bien un taux d’activité de 60% qui a été pris en compte (cf. partie en fait supra : B.d). Enfin, le recourant souligne son âge (57 ans), demandant ainsi, implicitement, que soit appliquée une réduction supplémentaire au revenu d’invalide. Or, comme rappelé supra, il ne suffit pas qu’un assuré ait dépassé la cinquantaine pour justifier une telle réduction. Le Tribunal fédéral a ainsi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Tout comme cet assuré, le recourant a, au cours de sa vie professionnelle, multiplié les activités diverses, démontrant ainsi une capacité d’adaptation certaine. Pour les raisons exposées par le Tribunal fédéral, il n’y a donc pas lieu de considérer que l’intimé aurait violé son pouvoir d’appréciation en n’appliquant pas une réduction supplémentaire au revenu après invalidité.</w:t>
      </w:r>
    </w:p>
    <w:p>
      <w:r>
        <w:rPr>
          <w:b/>
        </w:rPr>
        <w:t>E. 11</w:t>
      </w:r>
    </w:p>
    <w:p>
      <w:r>
        <w:t>Eu égard aux considérations qui précèdent, la décision de négation de prestations de l’intimé apparaît bien fondée, la comparaison des revenus conduisant à un degré d’invalidité insuffisant pour ouvrir droit à une rente. Dès lors, le recours est rejeté.</w:t>
      </w:r>
    </w:p>
    <w:p>
      <w:r>
        <w:rPr>
          <w:b/>
        </w:rPr>
        <w:t>E. 12</w:t>
      </w:r>
    </w:p>
    <w:p>
      <w:r>
        <w:t>Bien que la procédure ne soit pas gratuite en matière d’assurance-invalidité ( cf . art. 69 al. 1 bis LAI), il y a lieu en l’espèce de renoncer à la perception d’un émolument, le recourant étant au bénéfice de l’assistance juridique (art. 12 al. 1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