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A/4136/2015 vom 3. Mai 2016</w:t>
      </w:r>
    </w:p>
    <w:p>
      <w:r>
        <w:t>GE Cour de justice, 2016-05-03, FR</w:t>
      </w:r>
    </w:p>
    <w:p>
      <w:r>
        <w:rPr>
          <w:b/>
        </w:rPr>
        <w:t xml:space="preserve">Quelle: </w:t>
      </w:r>
      <w:r>
        <w:t>https://mcp.opencaselaw.ch/entscheid/ge_gerichte_A_4136_2015</w:t>
      </w:r>
    </w:p>
    <w:p>
      <w:r>
        <w:t>FR: GE_GERICHTE A/4136/2015 du 3 mai 2016</w:t>
      </w:r>
    </w:p>
    <w:p>
      <w:r>
        <w:t>IT: GE_GERICHTE A/4136/2015 del 3 maggio 2016</w:t>
      </w:r>
    </w:p>
    <w:p>
      <w:pPr>
        <w:pStyle w:val="Heading2"/>
      </w:pPr>
      <w:r>
        <w:t>Regeste</w:t>
      </w:r>
    </w:p>
    <w:p>
      <w:r>
        <w:t>ÉTABLISSEMENT DE SOINS ; SOINS MÉDICAUX ; BESOIN DE SOINS INFIRMIERS |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 LAMal.25a.al5; LSDom.9.al2; LSDom.22; LSDom.23</w:t>
      </w:r>
    </w:p>
    <w:p>
      <w:pPr>
        <w:pStyle w:val="Heading2"/>
      </w:pPr>
      <w:r>
        <w:t>Erwägungen</w:t>
      </w:r>
    </w:p>
    <w:p>
      <w:r>
        <w:rPr>
          <w:b/>
        </w:rPr>
        <w:t>E. 15</w:t>
      </w:r>
    </w:p>
    <w:p>
      <w:r>
        <w:t>avril 2015 afin de discuter de cette problématique. Il y a participé, de même que le directeur général de la direction générale de la santé, les représentants des sociétés et leur avocat. À l’issue de celle-ci, le DEAS a invité les sociétés à fournir des informations complémentaires nécessaires à la fixation du montant du financement résiduel. 6) Par courrier du 16 juin 2015, les sociétés ont adressé au Conseiller d’État l’estimation des coûts effectifs de leurs prestations pour les années futures. Dans la mesure où les montants forfaitaires de la prise en charge des prestations par l’assurance obligatoire des soins (ci-après : AOS) étaient et seraient inférieurs aux coûts effectifs estimés pour les années 2015 à 2019, le canton allait devoir prendre en charge la part non couverte de ces coûts. À titre indicatif, elles produisaient également un tableau du montant total de la participation du canton de Genève pour l’année 2015. Cette estimation était approximative, le nombre d’heures effectuées en 2015 étant inconnu et celui-ci augmenterait vraisemblablement dans les années à venir compte tenu de l’accroissement des besoins en soins d’une population vieillissante. 7) Le 25 septembre 2015, le DEAS a contesté être débiteur des montants réclamés. Seules les institutions de soins à domicile reconnues d’utilité publique étaient « subventionnées » par le canton. 8) Par courrier du 9 octobre 2015, la société a demandé qu’une décision formelle soit rendue. 9) Le 16 octobre 2015, le Conseiller d’État a rappelé que le DEAS n’était pas opposé à une éventuelle entrée en matière à compter de l’année 2016, raison pour laquelle la société devait transmettre des éléments comptables chiffrés et les documents leur permettant d’étudier les charges, revenus et activités exercées par les trois sociétés. 10) Le 28 octobre 2015, le Conseiller d’État a rendu sa décision. Les prétentions de la société n’étaient pas clairement établies. Le tableau annexé à son courrier du 16 juin 2015 était une estimation du nombre d’heures qui seraient effectuées en 2015, laquelle ne tenait au surplus pas compte de la part qui serait facturée au patient. La société n’étant pas reconnue d’utilité publique, il ne serait pas donné suite à sa demande de percevoir un financement étatique. 11) Par acte du 27 novembre 2015, la société a recouru auprès de la chambre administrative de la Cour de justice (ci-après : la chambre administrative) contre cette décision. Son droit au financement résiduel cantonal devant être reconnu dès 2015 et l’État de Genève devait prendre les dispositions nécessaires pour que le versement du financement résiduel tant à la société qu’à tout tiers autorisés à exploiter une OSAD dans le canton de Genève devienne effectif. Les conclusions étaient prises « sous suite de frais ». L’obligation d’être reconnue d’utilité publique était une condition additionnelle, contraire au droit fédéral. Le canton n’était pas autorisé à conditionner le paiement du financement résiduel à des exigences supplémentaires, par exemple la reconnaissance d’utilité publique, l’affiliation à une institution faîtière ou encore l’inclusion dans une planification de soins ambulatoires non prévues par la loi fédérale sur l'assurance-maladie du</w:t>
      </w:r>
    </w:p>
    <w:p>
      <w:r>
        <w:rPr>
          <w:b/>
        </w:rPr>
        <w:t>E. 18</w:t>
      </w:r>
    </w:p>
    <w:p>
      <w:r>
        <w:t>mars 1994 (LAMal – RS 832.10). De plus, l’assimilation du financement résiduel cantonal à une subvention étatique était erronée. En effet, les OSAD admises à pratiquer à charge de l’AOS avaient un véritable droit à la part résiduelle de l’art. 25a al. 5 in fine LAMal, laquelle ne saurait par conséquent dépendre du budget annuel de l’État ni être limitée par ce dernier. Par conséquent, le canton devait couvrir la part résiduelle des coûts des prestations prodiguées par des fournisseurs admis à pratiquer à charge de l’AOS. 12) Le 1 er février 2016, le Conseiller d’État a conclu au rejet du recours. La jurisprudence admettait que les cantons disposaient d’une large marge d’appréciation relative aux modalités de prise en charge de la part cantonale. À Genève, afin de bénéficier du financement étatique, les organisations d’aide et de soins à domicile et les infirmiers indépendants devaient être reconnus d’utilité publique par le canton. Tel n’était pas le cas de la recourante, qui était libre d’adapter ses horaires ou de refuser de la patientèle. S’il n’était pas question d’interdire l’accès au marché d’OSAD autres que celles reconnues d’utilité publique, il devait être rappelé que le rôle des cantons était de planifier l’offre et d’assurer à la population un accès aux soins tout en respectant des contraintes d’ordre budgétaires et administratives. La société exerçant en toute indépendance, elle pouvait facturer sans limite des prestations de soins à domiciles, à la charge de l’AOS, tout en choisissant ses clients. Dans ces conditions, l’État ne pouvait ni contrôler le volume des prestations, ni la qualité des soins offerts. Le canton devait pouvoir planifier et contrôler les budgets dévoués aux soins à domicile. Il avait ainsi décidé de subventionner les infirmiers et institutions reconnus d’utilité publique, à certaines conditions, par le biais de mandat de prestations. Il pouvait ainsi intervenir auprès des prestataires de soins concernés, afin de maîtriser les coûts de la santé et de planifier, dans le cadre élargi de la planification sanitaire cantonale, les besoins en soins à domicile. Faute de remplir les conditions fixées par le droit cantonal, la société ne pouvait prétendre à des prestations financières de la part de l’État. 13) Par réplique du 11 février 2016, la société a persisté dans ses conclusions. 14) Le 12 février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L’argument de la recourante selon lequel le DEAS assimile le financement résiduel cantonal à une subvention étatique sera écarté, le canton ne s’étant à aucun moment référé à la loi sur les indemnités et les aides financières du 15 décembre 2005 (LIAF – D 1 11) pour justifier son refus. 3) La recourante se prévaut du principe de la primauté du droit fédéral, soit en particulier de l’art. 25a al. 5 LAMal. 4) De jurisprudence constante, la chambre administrative est habilitée à revoir, à titre préjudiciel et à l’occasion de l’examen d’un cas concret, la conformité des normes de droit cantonal au droit fédéral (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 ATA/43/2016 précité ; Pierre MOOR/Alexandre FLÜCKIGER/Vincent MARTENET, op. cit., p. 352 ss n. 2.7.4.2). 5) La loi fédérale du 13 juin 2008 sur le nouveau régime de financement des soins (RO 2009 3517), entrée en vigueur le 1 er janvier 2011, a notamment complété la LAMal d’un nouvel art. 25a, dont l’al. 5 a la teneur suivante : « Les coûts des soins qui ne sont pas pris en charge par les assurances sociales ne peuvent être répercutés sur la personne assurée qu'à hauteur de 20 % au plus de la contribution maximale fixée par le Conseil fédéral. Les cantons règlent le financement résiduel ». 6) À Genève, le législateur a fixé dans la loi sur la santé du 7 avril 2006 (LS – K 1 03) et son règlement d’application ainsi que dans la loi sur le réseau de soins et le maintien à domicile du 26 juin 2008 (LSDom – K 1 06), les conditions devant être remplies par les organisations d’aide et de soins à domicile pour bénéficier du paiement de la part résiduelle. 7) 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 Les bénéficiaires des indemnités ou des aides financières accordées par l'État doivent poursuivre un but d'utilité publique (art. 23 LSDom). 9) Aux termes de l’art. 22 LSDom, poursuivent un but d'utilité publique les organisations privées d'aide et de soins à domicile, les structures intermédiaires privées et les infirmières et infirmiers pratiquant à titre indépendant qui : a)  correspondent aux besoins de la planification sanitaire cantonale ; b)  font partie du réseau de soins ; c)  sont autorisées en qualité de professionnels de la santé ou d'institution de santé au sens de la loi sur la santé, du 7 avril 2006 ; d)  appliquent les tarifs des prestations de maintien à domicile approuvés ou fixés par le Conseil d'État ; e)  poursuivent une politique salariale conforme aux conventions collectives, ou, à défaut, répondent aux normes appliquées dans le canton aux professions concernées ; f)   consacrent une part prépondérante de leur activité au maintien à domicile ; 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 (arrêt du Tribunal fédéral 2C_728/2011 du 23 décembre 2011 consid. 3.3). 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w:t>
      </w:r>
    </w:p>
    <w:p>
      <w:r>
        <w:rPr>
          <w:b/>
        </w:rPr>
        <w:t>E. 22</w:t>
      </w:r>
    </w:p>
    <w:p>
      <w:r>
        <w:t>octobre 2012 consid. 4.2 ; 2C_728/2011 du 23 décembre 2011 consid. 3.4 ; 2C_228/2011 consid. 3.2.1)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 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 12) La conclusion de la recourante en faveur des autres organisations de soins à domicile est irrecevable. Le contrôle étant effectué dans un cas concret, seule la décision d’application de la norme viciée peut être cas échéant annulée. 13) En l’espèce, la recourante qui a, par arrêté du 27 avril 2010 du DEAS,obtenu l’autorisation d’exploiter une organisation d’aide et de soins à domicile, n’a pas été reconnue d’utilité publique. 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 La recourante, qui est une société privée, est autorisée à facturer certaines de ses prestations à l’AOS, si bien que, conformément à la jurisprudence citée ci-dessus,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 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 Dans l’examen de ce cas concret, la norme cantonale, ou à tout le moins l’application qui en est faite par le DEAS, est contraire au droit fédéral. 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 Pour le surplus, la décision du DEAS du 28 octobre 2015 sera confirmée, les prétentions de la société n’étant pas, en l’état, clairement établies. 14) Vu l’issue du recours, un émolument de CHF 500.- sera mis à la charge de la recourante qui succombe partiellement. Aucun émolument ne sera mis à la charge du département, ce dernier en étant exempté (art. 87 al. 1 LPA). Dans la mesure où elle a dû recourir aux services d’un avocat et qu’elle obtient partiellement gain de cause, une indemnité de procédure de CHF 1’000.- sera allouée à la recourante (art. 87 al. 2 LPA). Cette indemnité sera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