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A/4132/2024 vom 4. Februar 2025</w:t>
      </w:r>
    </w:p>
    <w:p>
      <w:r>
        <w:t>GE Cour de justice, 2025-02-04, FR</w:t>
      </w:r>
    </w:p>
    <w:p>
      <w:r>
        <w:rPr>
          <w:b/>
        </w:rPr>
        <w:t xml:space="preserve">Quelle: </w:t>
      </w:r>
      <w:r>
        <w:t>https://mcp.opencaselaw.ch/entscheid/ge_gerichte_A_4132_2024</w:t>
      </w:r>
    </w:p>
    <w:p>
      <w:r>
        <w:t>FR: GE_GERICHTE A/4132/2024 du 4 février 2025</w:t>
      </w:r>
    </w:p>
    <w:p>
      <w:r>
        <w:t>IT: GE_GERICHTE A/4132/2024 del 4 febbraio 2025</w:t>
      </w:r>
    </w:p>
    <w:p>
      <w:pPr>
        <w:pStyle w:val="Heading2"/>
      </w:pPr>
      <w:r>
        <w:t>Erwägungen</w:t>
      </w:r>
    </w:p>
    <w:p>
      <w:r>
        <w:rPr>
          <w:b/>
        </w:rPr>
        <w:t>E. 1</w:t>
      </w:r>
    </w:p>
    <w:p>
      <w:r>
        <w:t>La chambre administrative est compétente pour se prononcer sur la révision de l’un de ses arrêts (art. 81 al. 1 in fine LPA). L’examen complet de sa recevabilité, notamment par rapport au délai (art. 81 LPA) sera toutefois effectué dans l’arrêt final.</w:t>
      </w:r>
    </w:p>
    <w:p>
      <w:r>
        <w:rPr>
          <w:b/>
        </w:rPr>
        <w:t>E. 2</w:t>
      </w:r>
    </w:p>
    <w:p>
      <w:r>
        <w:t>Les décisions sur effet suspensif et mesures provisionnelles sont prises par le président, respectivement par la vice-présidente, ou en cas d’empêchement de ceux‑ci, par un ou une juge (art. 21 al. 2 LPA ; 9 al. 1 du règlement interne de la chambre administrative du 20 juin 2020).</w:t>
      </w:r>
    </w:p>
    <w:p>
      <w:r>
        <w:rPr>
          <w:b/>
        </w:rPr>
        <w:t>E. 3</w:t>
      </w:r>
    </w:p>
    <w:p>
      <w:r>
        <w:t>Aux termes de l'art. 82 LPA, dès le dépôt de la demande de révision, la juridiction saisie peut suspendre l’exécution de la décision attaquée et ordonner d’autres mesures provisionnelles, en exigeant au besoin des sûretés. L’art. 21 al. 1 LPA permet également le prononcé de mesures provisionnelles.</w:t>
      </w:r>
    </w:p>
    <w:p>
      <w:r>
        <w:rPr>
          <w:b/>
        </w:rPr>
        <w:t>E. 4</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ATA/1244/2015 du 17 novembre 2015 consid. 2 ; ATA/1110/2015 du 16 octobre 2015 consid. 3 ; ATA/997/2015 du 25 septembre 2015 consid. 3) ;</w:t>
      </w:r>
    </w:p>
    <w:p>
      <w:r>
        <w:rPr>
          <w:b/>
        </w:rPr>
        <w:t>E. 5</w:t>
      </w:r>
    </w:p>
    <w:p>
      <w:r>
        <w:t>Suivant le dispositif de l'arrêt dont la révision est demandée, la suspension de l'exécution peut concerner celui-ci en tant que tel, aussi bien que la décision originellement attaquée (pour un exemple de ce dernier cas de figure, ATA/186/2010 du 17 mars 2010).</w:t>
      </w:r>
    </w:p>
    <w:p>
      <w:r>
        <w:rPr>
          <w:b/>
        </w:rPr>
        <w:t>E. 6</w:t>
      </w:r>
    </w:p>
    <w:p>
      <w:r>
        <w:t>En l'espèce, selon la chronologie du dossier, l' ATA/880/2024 précité, lequel fait l'objet de la demande de révision, a été porté devant le Tribunal fédéral. Celui-ci a admis la requête d'effet suspensif au recours le 17 octobre 2024. Il en découle qu'aucun acte d'exécution de l’autorisation de construire DD 1______ délivrée le 9 mars 2022 ne peut être entrepris. En d'autres termes, les travaux liés à la transformation de l'antenne de téléphonie mobile avec remplacement des antennes, autorisés par le département, ne peuvent pas débuter. De plus, le Tribunal fédéral a suspendu, le 17 décembre 2024, l'instruction de la cause par-devant lui jusqu'à doit connu sur la demande de révision. Par conséquent, l'effet suspensif est acquis pour toute la durée de la procédure de révision. Compte tenu de ces éléments, la demande de restitution de l'effet suspensif apparaît dénuée d'intérêt pratique et donc irrecevable.</w:t>
      </w:r>
    </w:p>
    <w:p>
      <w:r>
        <w:rPr>
          <w:b/>
        </w:rPr>
        <w:t>E. 7</w:t>
      </w:r>
    </w:p>
    <w:p>
      <w:r>
        <w:t>Le sort des frais de la procédure sera réservé jusqu'à droit jugé au fond. LA CHAMBRE ADMINISTRATIVE déclare irrecevable la demande d’effet suspensif du 10 décembre 2024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croit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à Me Guillaume FRANCIOLI, avocat de la recourante et domicile élu des résidents, à Me Stephan KRONBICHLER, avocat de B______ SA, à Me Philippe VON BREDOW, avocat de la FONDATION C______, au département du territoire - OAC, ainsi qu'au Tribunal fédéral, pour information. La vice-présidente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