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A/4125/2020 vom 7. November 2022</w:t>
      </w:r>
    </w:p>
    <w:p>
      <w:r>
        <w:t>GE Cour de justice, 2022-11-07, FR</w:t>
      </w:r>
    </w:p>
    <w:p>
      <w:r>
        <w:rPr>
          <w:b/>
        </w:rPr>
        <w:t xml:space="preserve">Quelle: </w:t>
      </w:r>
      <w:r>
        <w:t>https://mcp.opencaselaw.ch/entscheid/ge_gerichte_A_4125_2020</w:t>
      </w:r>
    </w:p>
    <w:p>
      <w:r>
        <w:t>FR: GE_GERICHTE A/4125/2020 du 7 novembre 2022</w:t>
      </w:r>
    </w:p>
    <w:p>
      <w:r>
        <w:t>IT: GE_GERICHTE A/4125/2020 del 7 novembre 2022</w:t>
      </w:r>
    </w:p>
    <w:p>
      <w:pPr>
        <w:pStyle w:val="Heading2"/>
      </w:pPr>
      <w:r>
        <w:t>Regeste</w:t>
      </w:r>
    </w:p>
    <w:p>
      <w:r>
        <w:t>ANTENNE;ESTHÉTIQUE | LCI.15</w:t>
      </w:r>
    </w:p>
    <w:p>
      <w:pPr>
        <w:pStyle w:val="Heading2"/>
      </w:pPr>
      <w:r>
        <w:t>Erwägungen</w:t>
      </w:r>
    </w:p>
    <w:p>
      <w:r>
        <w:rPr>
          <w:b/>
        </w:rPr>
        <w:t>E. 1</w:t>
      </w:r>
    </w:p>
    <w:p>
      <w:r>
        <w:t>2,63 pour les groupes d’antennes qui émettent exclusivement dans la gamme de fréquence autour de 900 MHz ou dans des gammes de fréquence plus basses,</w:t>
      </w:r>
    </w:p>
    <w:p>
      <w:r>
        <w:rPr>
          <w:b/>
        </w:rPr>
        <w:t>E. 2</w:t>
      </w:r>
    </w:p>
    <w:p>
      <w:r>
        <w:t>1,76 pour les groupes d’antennes qui émettent exclusivement dans la gamme de fréquence autour de 1800 MHz ou dans des gammes de fréquence plus élevées,</w:t>
      </w:r>
    </w:p>
    <w:p>
      <w:r>
        <w:rPr>
          <w:b/>
        </w:rPr>
        <w:t>E. 3</w:t>
      </w:r>
    </w:p>
    <w:p>
      <w:r>
        <w:t>2,10 pour tous les autres groupes d’antennes; b. ERP 90 : ERP cumulée, exprimée en W, émise par les antennes d’un groupe d’antennes dans un secteur azimutal de 90° dans le mode d’exploitation déterminant; le secteur azimutal déterminant est celui dans lequel est émise l’ERP cumulée la plus élevée. Selon l'al. 5, par modification d’une installation, on entend: a. la modification de l’emplacement d’antennes émettrices; b. le remplacement d’antennes émettrices par d’autres ayant un diagramme d’antenne différent; c. l’extension par ajout d’antennes émettrices; d. l’augmentation de l’ERP au-delà de la valeur maximale autorisée, ou e. la modification des directions d’émission au-delà du domaine angulaire autorisé. L’application d’un facteur de correction aux antennes émettrices adaptatives existantes en vertu du ch. 63, al. 2, n’est pas considérée comme une modification d’une installation (annexe 1 ch. 62 al. 5bis ORNI). Par antennes émettrices adaptatives, on entend les antennes émettrices exploitées de sorte que leur direction d’émission ou leur diagramme d’antenne est adapté automatiquement selon une périodicité rapprochée (annexe 1 ch. 62 al. 6 ORNI). L'annexe 1 ch. 63 ORNI prévoit que par mode d’exploitation déterminant, on entend le mode d’exploitation dans lequel un maximum de conversations et de données est transféré, l’émetteur étant au maximum de sa puissance (al. 1). S’agissant des antennes émettrices adaptatives qui possèdent au moins huit sous-ensembles d’antennes commandés séparément (sub arrays), un facteur de correction KAA peut être appliqué à l’ERP maximale lorsque les antennes émettrices sont équipées d’une limitation de puissance automatique. Cette limitation vise à garantir que, durant l’exploitation, l’ERP moyenne sur une durée de six minutes ne dépasse pas l’ERP corrigée (al. 2). 6.             Selon l'annexe 1 ch. 63 al. 3 ORNI, les facteurs de correction KAA suivants s’appliquent:![endif]&gt;![if&gt; Nombre de sub arrays Facteur de correction K AA 64 et plus 0,10 32 à 63 0,13 16 à 31 0,20</w:t>
      </w:r>
    </w:p>
    <w:p>
      <w:r>
        <w:rPr>
          <w:b/>
        </w:rPr>
        <w:t>E. 8</w:t>
      </w:r>
    </w:p>
    <w:p>
      <w:r>
        <w:t>à 15 0,40 Si un facteur de correction K AA est appliqué aux antennes émettrices adaptatives existantes, le détenteur de l’installation remet à l’autorité compétente une fiche de données spécifique au site adaptée (l'annexe 1 ch. 63 al. 4 ORNI). L'annexe 1 ch. 64 ORNI prévoit que la valeur limite d'installation à respecter est de 4.0 V/m pour les installations qui émettent exclusivement dans la gamme de fréquence autour de 900 MHz ou dans des gammes de fréquence plus basses (let. a); 6.0 V/m pour les installations qui émettent exclusivement dans la gamme de fréquence autour de 1800 MHz ou dans des gammes de fréquence plus élevées (let. b); et de 5.0 V/m pour toutes les autres installations (let. c). 7.             Ainsi, les valeurs limites d'immission et d'installation de l'ORNI sont principalement adaptées à la protection de l'homme (cf. arrêts du Tribunal fédéral 1C_579/2017 du 18 juillet 2018 consid. 5.4 ; 1C_254/2017 du 5 janvier 2018 consid. 9.2 ; 1C_450/2010 du 12 avril 2011 consid. 3.2). La doctrine a au surplus relevé que les valeurs limites prévues dans l'ORNI était dix fois plus strictes que celles recommandées par la Commission internationale de protection contre les rayonnements non ionisants (J. DRITTENBASS, op. cit., p. 138).![endif]&gt;![if&gt; Dans le domaine du rayonnement non ionisant, la limitation dite préventive - qui doit être ordonnée en premier lieu, indépendamment des nuisances existantes - est reprise à l'art. 4 al. 1 ORNI. Cette limitation fait l'objet d'une réglementation détaillée à l'annexe 1 de l'ORNI (par renvoi de l'art. 4 al. 1 ORNI), laquelle fixe notamment, pour les stations émettrices pour téléphonie mobile et raccordements téléphoniques sans fils (ch. 6 annexe 1 ORNI), les valeurs limites de l'installation mentionnées plus haut (ch. 64 annexe 1 ORNI). Selon la jurisprudence du Tribunal fédéral, l'étendue de la limitation préventive des émissions selon l'art. 4 al. 1 ORNI est déterminée de manière exhaustive avec l'édiction des valeurs limites d'installation, raison pour laquelle les autorités appliquant la loi ne peuvent pas exiger une limitation supplémentaire dans des cas individuels sur la base de l'art. 12 al. 2 LPE (ATF 133 II 64 consid. 5.2; Arrêts du Tribunal fédéral 1A_251/2002 du 24 octobre 2003, consid. 4 ; 1A.10/2001 du 8 avril 2002, consid. 2.2 ; DRITTENBASS, op. cit., p. 141-142). 8.             Au sens de l'art. 12 al. 2 ORNI, pour vérifier si la valeur limite d’installation, au sens de l’annexe 1, n’est pas dépassée, l'autorité procède ou fait procéder à des mesures ou à des calculs, ou elle se base sur des données provenant de tiers. L'OFEV recommande des méthodes de mesure et de calcul appropriées.![endif]&gt;![if&gt; Sur cette base, l'OFEV a publié le 23 février 2021 un document intitulé « Explications concernant les antennes adaptatives et leur évaluation selon l’ordonnance sur la protection contre le rayonnement non ionisant (ORNI) » (ci-après: explications OFEV - https://www.newsd.admin.ch/newsd/ message/attachments/65389.pdf; consulté le 22 septembre 2022). Il y est notamment fait état de deux études effectuées à l'étranger en 2019 et 2020 ainsi que de mesures et simulations réalisées par l'office fédéral de la communication durant l'été 2020 sur deux antennes adaptatives autorisées de deux opérateurs différents. L'OFEV retient en conclusion, sur la base des résultats de diverses études de simulation et de mesures réalisées entre 2017 et 2020, que « Les puissances d’émission moyennes des antennes adaptatives (avec différents nombres d’éléments d’antenne), calculées sur six minutes, se situent, selon le scénario, dans une plage comprise entre environ 1 % (0,01 ou -20 dB) et 50 % (0,5 ou -3 dB) de la puissance maximale théorique. L’éventail des résultats des études est très large. En ce qui concerne les antennes réseau 8×8, les puissances émettrices déterminées se situent généralement entre environ 10 % (0,1 ou -10 dB) et 32 % (0,32 ou -5 dB) de la puissance maximale théorique. Les études ont également montré que la différence entre la puissance d’émission maximale déterminée et la puissance d’émission maximale théorique dépend de la taille de l’antenne, c’est-à-dire du nombre d’unités d’antenne activables indépendamment (réseaux ou sub arrays). On a calculé, sur la base d’études portant sur différentes tailles d’antennes, un facteur de correction gradué pouvant être appliqué à la puissance d’émission maximale possible des antennes adaptatives » (Explications OFEV, p. 17 à 20). Egalement en date du 23 février 2021, l'OFEV a publié un rapport intitulé « Antennes adaptative – Complément à la recommandation d'exécution de l'ordonnance sur la protection contre le rayonnement non ionisant (ORNI) concernant les stations de base pour téléphonie mobile et raccordements sans fil (WLL) de l'OFEFP [actuellement : OFEV] de 2002 » (ci-après: le complément – https://www.newsd.admin.ch/ newsd/message/attachments/65394.pdf; consulté le 22 septembre 2022). Avant la publication du complément, des antennes adaptatives avaient été autorisées sur la base du scénario du pire. Le complément définit désormais comment les paramètres techniques des antennes adaptatives doivent être déclarés dans la fiche de données spécifique au site et comment leur contribution à l'intensité du champ électrique de l'installation de téléphonie mobile doit être calculée. Il indique en outre comment les antennes adaptatives doivent être contrôlées dans les systèmes d'assurance de la qualité utilisés par les opérateurs (complément, p. 6). Il y est aussi précisé que conformément à l’annexe 1 ch. 63 de l’ORNI révisée, le mode d’exploitation déterminant pour les antennes adaptatives correspond également au mode d’exploitation dans lequel un maximum de conversations et de données est transféré, l’émetteur étant au maximum de sa puissance. En raison des propriétés spécifiques des antennes adaptatives, la variabilité des directions d’émission et des diagrammes d’antenne doit également être prise en considération. Concrètement, il faut aussi tenir compte du fait que les antennes adaptatives ne peuvent pas émettre en même temps à la puissance d'émission maximale possible dans toutes les directions, ce qui correspond au scénario du pire. Dans la réalité, la puissance d'émission est répartie pour les signaux qui sont émis dans différentes directions. En outre, conformément à l'annexe 1 ch. 64 ORNI, dans un LUS, la preuve par calcul du respect de la valeur limite de l'installation est fournie comme auparavant au moyen de la fiche complémentaire 4a de la fiche de données spécifique au site (complément, p. 7 ss). 9.             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Cela inclut notamment la puissance apparente rayonnée (ERP ; art. 3 al. 9 ORNI), y compris la direction du faisceau principal des antennes, et si l'antenne fonctionne en mode adaptatif ou non. Les données correspondantes servent de bases pour le permis de construire et sont contraignantes pour l'opérateur ; toute augmentation de l'ERP au-delà de la valeur maximale autorisée et toute direction de transmission au-delà du domaine angulaire autorisé est considérée comme un changement de l'installation, ayant pour conséquence qu'une nouvelle fiche de données spécifique au site doit être présentée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valeur limite de l’installation au sens de l’annexe 1 est dépassée (art. 11 al. 2 let. c ORNI).![endif]&gt;![if&gt; Il est vrai que la prévision calculée qui doit être faite sur la base de ces informations est sujette à certaines incertitudes, car elle prend en compte les principaux facteurs d'influence mais ne tient pas compte de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1C_132/2007 du 30 janvier 2008 consid. 4.4-4.6 in RDAF 2009 I 536 ). En effet, c'est pour prendre en compte cette incertitude que des mesures de réception doivent être effectuées après la mise en service de l'installation si, selon la prévision calculée, 80 % de la valeur limite de l'installation est atteinte à un LUS (complément recommandation OFEV, ch. 2.1.8 ; Benjamin WITTWER, Bewilligung von Mobilfunkanlagen, 2e éd., Zurich 2008, p. 61 s. ; arrêt du Tribunal fédéral 1A.148/2002 du 12 août 2003 consid. 4.3.1 s.). Si, sur la base de ces mesures, il s'avère que la valeur limite de l'installation est dépassée lors du fonctionnement, la puissance d'émission maximale admissible doit être redéfinie et le respect des valeurs prescrites doit être démontré par des mesures supplémentaires (cf. arrêt du tribunal fédéral 1C_681/2017 du 1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(cf. ATF 130 II 32 consid. 2.4). Il sied également d'ajouter qu'au printemps 2005, le Tribunal fédéral avait estimé qu'il fallait mieux contrôler l'exploitation des antennes de téléphonie mobile, afin de garantir en particulier que les puissances émettrices et les directions d'émission autorisées soient respectées. Sur cette base, l'OFEV a mis en place un système d'assurance qualité prévoyant que pour chaque antenne, les valeurs correspondant à la direction et à la puissance émettrice maximale sont enregistrées dans une banque de données et comparées quotidiennement aux valeurs autorisées. Ce système est examiné périodiquement et certifié par un organe indépendant. Swisscom a mis en place un tel système de sécurité, dont les nouveaux paramètres relatifs aux antennes adaptatives ont été validé par l'OFCOM en date du 23 juin 2021 (Validierungszertifikat QSS Swisscom, accessible à l'adresse https://www.bafu.admin.ch/bafu/fr/home/themes/ electrosmog/info-specialistes/mesures-contre-l-electrosmog/assurance-de-la-qualite-en-ce-qui-concerne-le-respect-des-valeur.html; consulté le 22 septembre 2022). Le Tribunal fédéral a reconnu le système d'assurance qualité comme un instrument de contrôle performant et n'a pas considéré nécessaire de recourir à un contrôle par des mesures de construction (arrêt du Tribunal fédéral 1C_282/2008 du 7 avril 2009 consid. 3.5). 10.         Au sujet des risques pour la santé, la jurisprudence du Tribunal fédéral retient que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228).![endif]&gt;![if&gt; Les valeurs limites spécifiées dans l'ORNI pour la protection contre les rayonnements non ionisants sont fondées sur des résultats scientifiquement étayés concernant les risques pour la santé liés aux antennes de radiotéléphonie mobile. Le Conseil fédéral ou son autorité spécialisée, l'OFEV, suit en permanence l'évolution de la science avec un groupe consultatif d'experts (BERENIS) et doit, si nécessaire, adapter les valeurs limites à l'état de la science ou de l'expérience (arrêts 1C_518/2018 du 14 avril 2020 consid. 5.1.1 ; 1C_348/2017 du 21 février 2018 consid. 4 ; 1C_118/2010 du 20 octobre 2010 consid. 4.2.3). Cela étant, vu la marge de manœuvre dont dispose le Conseil fédéral pour l'établissement des valeurs limites, seuls de solides éléments démontrant de nouvelles connaissances fondées scientifiquement justifient de les remettre en cause (arrêts 1C_518/2018 précité consid. 5.1.1 ; 1C_323/2017 du 15 janvier 2018 consid. 2.5). À cet égard, le Tribunal fédéral a confirmé qu'en l'état des connaissances actuelles, il n'existait pas d'indices en vertu desquels ces valeurs limites devraient être modifiées (arrêts 1C_518/2018 précité consid. 5.1.1 ; 1C_348/2017 du 21 février 2018 consid. 4.3; 1C_323/2017 du 15 janvier 2018 consid. 2.5). La doctrine relève également que si des incertitudes scientifiques existent, le volume des études scientifiques permettant d'apprécier les effets des antennes de téléphonie mobile sur le corps humain a fortement augmenté et leurs conclusions emportent le constat qu'aucun effet du rayonnement de la téléphonie mobile sur la santé n’a pu être prouvé de manière cohérente en-dessous des valeurs limites de l'ORNI (Martin RÖÖSLI, Gesundheitsgefährdungsabschätzung: Auswirkungen von nichtionisierender Strahlung auf den Menschen, DEP 2021, p. 117-133, p. 127 ss). Sans indice concret indiquant que ces valeurs limites devraient être modifiées, le Tribunal fédéral a jugé, à diverses reprises, que les valeurs limites fixées dans l'ORNI étaient conformes à la Constitution et à la loi (cf. arrêts du Tribunal fédéral 1C_375/2020 du 5 mai 2021 consid. 3.2.5 ; 1C_518/2018 du 14 avril 2020 consid. 5.1.1 ; 1C_348/2017 du 21 février 2018 consid. 4.3 ; 1C_323/ 2017 du 15 janvier 2018 consid. 2.5). Le Tribunal fédéral en a tiré qu'il existe une présomption de respect du principe de prévention si les valeurs limites prévues par l'ORNI sont respectées (arrêt du Tribunal fédéral 1C_518/2018 précité consid. 5.3). Par ailleurs, la CourEDH a en particulier confirmé, sous l'angle de l'art. 8 CEDH, que tant que la nocivité des antennes pour la population n'était pas prouvée scientifiquement, elle restait dans une large mesure spéculative, de sorte qu'on ne pouvait imposer à la Confédération l'obligation d'adopter des mesures plus amples (ACEDH, Luginbühl c. Suisse du 17 janvier 2006 ; arrêt du Tribunal fédéral 1C_518/2018 précité consid. 5.1.1). 11.         S'agissant des développements les plus récents, le consortium de projet SwissNIS, sur mandat de l'OFEV, a rendu le 24 mai 2022 son premier rapport de monitoring sur les mesures d'exposition aux rayonnements non ionisants (https://www.newsd.admin.ch/newsd/message/ attachments/71991.pdf ; consulté le 22 septembre 2022). L'OFEV considère que « Les premiers résultats du rapport de monitoring montrent que la protection de la santé est garantie. Dans les lieux fréquentés de manière habituelle, les intensités de champ se situent clairement en-dessous de la valeur limite d'immission. Les valeurs les plus élevées ont été mesurées aux stations de tram, dans les zones industrielles et au centre des grandes villes, tandis que les valeurs les plus faibles ont été enregistrées dans les zones agricoles et dans les espaces naturels. Les mesures concernant les logements n'en sont qu'à leur début. Les mesures effectuées jusqu'à présent révèlent des valeurs d'exposition faibles, mais sont toutefois peu nombreuses. C'est pourquoi il n'est pas encore possible d'en tirer des conclusions générales » (https://www.bafu.admin.ch/bafu/fr/home/themes/electrosmog/communiques.msg-id-89276.html ; consulté le 22 septembre 2022).![endif]&gt;![if&gt; En outre, dans un arrêt 1C_339/2021 du 30 juin 2022, le Tribunal fédéral a confirmé sa jurisprudence confirmant l'application des Recommandations de mesures, OFEFP [éd.], 2002, selon lesquelles, si, selon le pronostic calculé, la valeur limite de l'installation est atteinte à 80 % dans un lieu à utilisation sensible, une mesure de réception de rayonnement non ionisant doit être effectuée après la mise en service de l'installation pour contrôler le pronostic calculé. À cet égard, le Tribunal fédéral a examiné la conformité au droit de la condition posée par l'autorisation de construire sur les mesures devant être effectuées après la mise en service de l'installation transformée, notamment dans l'un des LUS mentionné dans la fiche de données spécifique au site, et a considéré que cette condition correspondait aux Recommandations susmentionnées. 12.         Dans le cas d'espèce, compte tenu de ce qui précède, c'est en vain que les parties intervenantes invoquent les effets nocifs des rayonnements non ionisants sur la santé humaine, qu'ils soient scientifiquement démontrés ou pas suffisamment en l'état. En effet, c'est précisément en raison du danger avéré ou potentiel de ces rayonnements que le Conseil fédéral a déterminé dans l'ORNI des valeurs limites en deçà desquelles aucun effet du rayonnement de la téléphonie mobile n'a jusqu'ici été prouvé de manière cohérente.![endif]&gt;![if&gt; S'agissant de l'incertitude de la mesure des rayonnements émis par une installation, les considérants qui précèdent conduisent également à rejeter les arguments des parties intervenantes. Les recommandations de l'OFEV tiennent précisément compte des incertitudes qui pèsent autour de la mesure du rayonnement provoqué par une installation de téléphonie mobile, la jurisprudence susrappelée du Tribunal fédéral précisant que l'incertitude de mesure ne doit être ni ajoutée ni déduite, que seules les valeurs mesurées doivent être prises en compte et enfin que c'est pour prendre en compte cette incertitude que des mesures de réception doivent être effectuées après la mise en service de l'installation si, selon la prévision calculée, 80 % de la valeur limite de l'installation est atteinte à un LUS. Outre ces considérations générales qui conduisent à rejeter les arguments des parties intervenantes relatifs au principe de prévention et à l'incertitude des mesures du rayonnement non ionisant, il faut ajouter que le présent litige vise un refus d'autorisation de construire notifié à la recourante alors que le SABRA avait requis un complément d'instruction et ne s'était vraisemblablement même pas penché sur la fiche de données spécifique dans sa version du 2 septembre 2019. En d'autres termes, les arguments des parties intervenantes dans la présente procédure ont une portée abstraite et ne s'appliquent pas spécifiquement à l'installation litigieuse, celle-ci n'ayant précisément pas fait l'objet d'une autorisation de construire. 13.         C'est le lieu de préciser que la production par la recourante, durant la présente procédure, de la nouvelle fiche de données spécifique au site établie le 1 er février 2022, ne permet pas de donner suite à la conclusion de la recourante relative à l'octroi de l'autorisation de construire, ni à sa conclusion subsidiaire concernant le renvoi du dossier à l'autorité intimée avec ordre de délivrer l'autorisation sollicitée. Comme l'a relevé à juste titre autorité intimée, le tribunal est une instance judiciaire de contrôle de la légalité des décisions prises par les autorités administratives et ne peut se substituer à ces dernières en instruisant des questions qui relèvent du préavis d'instances spécialisées. Il incombe en l'espèce au SABRA d'examiner le dossier, notamment sur la base de la nouvelle fiche de données spécifique au site, puis ensuite à l'autorité intimée, si elle estime que l'autorisation peut être octroyée, de l'assortir cas échéant des conditions qui s'imposeraient selon l'ORNI et les recommandations de l'OFEV.![endif]&gt;![if&gt; 14.         Il résulte de ce qui précède que, dans la mesure où elle se fonde sur le principe de prévention, la décision litigieuse est contraire au droit.![endif]&gt;![if&gt; 15.         Il reste cependant à examiner l'autre motif sur lequel se fonde la décision litigieuse, à savoir la clause d'esthétique de l'art. 15 LCI. Plus spécifiquement, cette décision fait siennes les explications de la CMNS selon lesquelles, vu la position proéminente de l'immeuble – implanté sur les falaises de D______– la mise en œuvre de toute installation technique sur la toiture de l'ensemble protégé auquel appartenait l'immeuble risquait d'avoir un impact négatif sur les vues lointaines et sur le paysage.![endif]&gt;![if&gt; 16.         Aux termes de l'article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Il se fonde notamment sur le préavis de la commission d'architecture ou, pour les objets qui sont de son ressort, sur celui de la commission des monuments, de la nature et des sites. Il tient compte également, le cas échéant, de ceux émis par la commune ou les services compétents du département.![endif]&gt;![if&gt; La clause d'esthétique de la disposition susmentionnée constitue une notion juridique indéterminée, laissant un certain pouvoir d'appréciation à l'administration, celle-ci n'étant limitée que par l'excès ou l'abus de pouvoir (art. 61 al. 2 LPA). Dans le système de la LCI, les avis ou préavis des communes, des départements et organismes intéressés n'ont qu'un caractère consultatif, bien que leur rôle soit le plus souvent considéré comme important dans l'appréciation du dossier (Mémorial des séances du Grand Conseil 1988 II p.1640). En particulier, le préavis de la commission des monuments de la nature et des sites, qui est composée de spécialistes en matière d'architecture et d'urbanisme, émis à l'occasion d'un projet concret, revêt un poids prépondérant (ATA H. du 2 mars 1999 et réf. cit.; T. TANQUEREL, "La pesée des intérêts vue par le juge administratif" publié in La pesée globale des intérêts, A. MORAND, 1996, p. 201). 17.         Chaque fois que l'autorité administrative suit les préavis des commissions consultatives, l'autorité de recours doit s'imposer une certaine retenue, en fonction de son aptitude à trancher le litige ( ATA/560/2004 du 22 juin 2004 et réf. cit; ATA/123/2003 du 11 mars 2003).![endif]&gt;![if&gt; 18.         En l'espèce, comme l'a pertinemment relevé l'autorité intimée, ce n'est pas l'immeuble lui-même, en tant qu'immeuble protégé, que la CMNS (et par la suite la décision litigieuse) souhaitait préserver. A ce titre, c'est tout à fait à raison que la recourante a relevé que, compte tenu de son implantation et de son élévation de 2 m. au milieu de la toiture, l'installation projetée sera totalement invisible depuis les rues adjacentes, ainsi que cela découle très clairement d'un examen par Google Street View (disponible via le Système d'information du territoire genevois). Ce n'est donc, en effet, que la question des vues lointaines qui est susceptible de poser un problème sous l'angle de la clause d'esthétique de l'art. 15 LCI.![endif]&gt;![if&gt; Or, la même utilisation de Google Street View permet également d'exclure que l'installation projetée pourrait avoir le moindre impact sur les vues lointaines. Il semble en effet avoir échappé à la CMNS que si, certes, l'ensemble protégé se situe de manière proéminente au-dessus des falaises de D______, le projet litigieux se situe à une trentaine de mètres en arrière du front que présente cet ensemble au-dessus des falaises. Il apparaît ainsi, sur les différentes vues que l'on peut obtenir depuis la rive gauche du Rhône, aussi bien en aval qu'en amont de l'ensemble protégé, que seul l'immeuble de tête est visible, ainsi que sa toiture. Tout élément situé en arrière de l'immeuble de tête est totalement invisible. Quant aux vues lointaines évoquées par la CMNS (sans plus ample précision), qui permettraient éventuellement d'apercevoir tout l'ensemble protégé de la rue du C______, et notamment sa toiture, le tribunal n'en voit pas la possibilité, du moins dans un rayon qui permettrait encore de distinguer l'installation de faibles dimensions. Le site du Bois-de-la-Bâtie, situé de l'autre côté du Rhône à la même hauteur que le quartier de D______, est situé très en aval de la rue du C______, et les vues disponibles via Google Street View montrent là aussi que l'ensemble protégé est à peine perceptible. A l'arrière de la rue de D______, du côté de la couverture des voies CFF, l'installation litigieuse serait manifestement très difficile à percevoir, à nouveau compte tenu de son implantation et sa faible hauteur. 19.         C'est donc de manière manifestement abusive que la CMNS a évalué négativement l'impact que pourrait avoir le projet sur les vues lointaines ou sur le paysage. Dans cette mesure, il n'y a pas lieu d'examiner si la recourante aurait pu trouver un emplacement alternatif, comme le soutiennent l'autorité intimée et la commune intervenante.![endif]&gt;![if&gt; 20.         Au vu de ce qui précède, les deux motifs invoqués par la décision litigieuse étant infondé, cette dernière sera annulée, le recours étant ainsi admis quant à la première de ses conclusions principales. ![endif]&gt;![if&gt; 21.         Conformément à ce qui précède (cf. ci-dessus consid. 13), le dossier sera renvoyé à l'autorité intimée afin qu'elle en reprenne l'instruction, le recours étant ainsi rejeté quant à la seconde de ses conclusions principales et la seconde de ses conclusions subsidiaires.![endif]&gt;![if&gt; 22.         À cet égard, il est précisé que le présent jugement constitue une décision incidente.![endif]&gt;![if&gt; 23.         Le recours est ainsi partiellement admis.![endif]&gt;![if&gt; 24.         Vu l'issue du litige, il ne sera pas perçu d'émolument (art. 87 al. 1 LPA et 1 et 2 du règlement sur les frais, émoluments et indemnités en procédure administrative du 30 juillet 1986 - RFPA - E 5 10.03) et son avance de frais de CHF 200.- sera restituée à la recourante.![endif]&gt;![if&gt; 25.         Vu l'issue du litige, une indemnité de procédure réduite de CHF 300.-, sera mise à la charge de l'État de Genève, soit pour lui le département du territoire, sera allouée à A______ SA (art. 87 al. 2 à 4 LPA et 6 RFPA). Le montant de cette indemnité tient compte du fait que le conseil de la recourante a produit des écritures identiques dans plusieurs autres dossiers actuellement pendants devant le tribunal, de sorte que si l'issue de ces dossiers devait être identique à celle de la présente procédure, il ne se justifierait pas d'octroyer à chaque fois l'indemnité qui serait normalement allouée pour une activité déployée pour un seul dossier. Cas échéant, en cas d'admission du recours de A______ SA dans un nombre limité des autres dossiers susmentionnés, le montant de l'indemnité octroyée à ces occasions sera réévalué afin de constituer un tout cohérent.![endif]&gt;![if&gt;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