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A/4116/2021 vom 17. Mai 2022</w:t>
      </w:r>
    </w:p>
    <w:p>
      <w:r>
        <w:t>GE Cour de justice, 2022-05-17, FR</w:t>
      </w:r>
    </w:p>
    <w:p>
      <w:r>
        <w:rPr>
          <w:b/>
        </w:rPr>
        <w:t xml:space="preserve">Quelle: </w:t>
      </w:r>
      <w:r>
        <w:t>https://mcp.opencaselaw.ch/entscheid/ge_gerichte_A_4116_2021</w:t>
      </w:r>
    </w:p>
    <w:p>
      <w:r>
        <w:t>FR: GE_GERICHTE A/4116/2021 du 17 mai 2022</w:t>
      </w:r>
    </w:p>
    <w:p>
      <w:r>
        <w:t>IT: GE_GERICHTE A/4116/2021 del 17 maggio 2022</w:t>
      </w:r>
    </w:p>
    <w:p>
      <w:pPr>
        <w:pStyle w:val="Heading2"/>
      </w:pPr>
      <w:r>
        <w:t>Erwägungen</w:t>
      </w:r>
    </w:p>
    <w:p>
      <w:r>
        <w:rPr>
          <w:b/>
        </w:rPr>
        <w:t>E. 2</w:t>
      </w:r>
    </w:p>
    <w:p>
      <w:r>
        <w:t>, correspond au prix licite et donc que le prix de CHF 8.- proposé par les recourants devait être considéré comme surfait. En conséquence, il appert que les recourants échouent également à prouver que le prix convenu était licite et que le refus d'autorisation devrait pour ce motif être annulé. En tous points infondé, le recours sera rejeté, dans la mesure où il est recevable. 10) Vu l'issue du litige, un émolument de CHF 500.- sera mis à la charge solidaire des recourants (art. 87 al. 1 LPA) et il ne sera alloué aucune 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