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A/4115/2023 vom 27. November 2024</w:t>
      </w:r>
    </w:p>
    <w:p>
      <w:r>
        <w:t>GE Cour de justice, 2024-11-27, FR</w:t>
      </w:r>
    </w:p>
    <w:p>
      <w:r>
        <w:rPr>
          <w:b/>
        </w:rPr>
        <w:t xml:space="preserve">Quelle: </w:t>
      </w:r>
      <w:r>
        <w:t>https://mcp.opencaselaw.ch/entscheid/ge_gerichte_A_4115_2023</w:t>
      </w:r>
    </w:p>
    <w:p>
      <w:r>
        <w:t>FR: GE_GERICHTE A/4115/2023 du 27 novembre 2024</w:t>
      </w:r>
    </w:p>
    <w:p>
      <w:r>
        <w:t>IT: GE_GERICHTE A/4115/2023 del 27 novembre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Compte tenu du domicile genevois de la recourante, la Cour de céans est compétente à raison de la matière et du lieu pour juger du cas d’espèce.</w:t>
      </w:r>
    </w:p>
    <w:p>
      <w:r>
        <w:rPr>
          <w:b/>
        </w:rPr>
        <w:t>E. 2</w:t>
      </w:r>
    </w:p>
    <w:p>
      <w:r>
        <w:t>À teneur de l'art. 1 al. 1 LAA, les dispositions de la LPGA s'appliquent à l'assurance-accidents, à moins que la loi n'y déroge expressément. Le 1 er janvier 2021 est entrée en vigueur la modification du 21 juin 2019 de la LPGA. Dans la mesure où le recours a été interjeté postérieurement au 1 er janvier 2021, il est soumis au nouveau droit (cf. art. 82 a LPGA a contrario ). Le 1 er janvier 2017 est entrée en vigueur la modification du 25 septembre 2015 de la LAA.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après le 31 décembre 2016. Le délai de recours est de trente jours (art. 56 LPGA ; art. 62 al. 1 de la de loi sur la procédure administrative du 12 septembre 1985 [LPA - E 5 10]). Interjeté dans la forme et le délai prévus par la loi, le recours est recevable.</w:t>
      </w:r>
    </w:p>
    <w:p>
      <w:r>
        <w:rPr>
          <w:b/>
        </w:rPr>
        <w:t>E. 3</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et les références ;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4</w:t>
      </w:r>
    </w:p>
    <w:p>
      <w:r>
        <w:t>Le litige porte sur la question du bien-fondé du rejet par l'intimé de la demande de révision procédurale de la décision du 25 janvier 2021 entrée en force. En d'autres termes, le litige se limite à la question de savoir s'il existe des faits ou moyens de preuve nouveaux et, cas échéant, s'ils ont été invoqués en temps utile</w:t>
      </w:r>
    </w:p>
    <w:p>
      <w:r>
        <w:rPr>
          <w:b/>
        </w:rPr>
        <w:t>E. 5.1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w:t>
      </w:r>
    </w:p>
    <w:p>
      <w:r>
        <w:rPr>
          <w:b/>
        </w:rPr>
        <w:t>E. 5.2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5.3</w:t>
      </w:r>
    </w:p>
    <w:p>
      <w:r>
        <w:t>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5.4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rPr>
          <w:b/>
        </w:rPr>
        <w:t>E. 6.1</w:t>
      </w:r>
    </w:p>
    <w:p>
      <w:r>
        <w:t>Aux termes de l'art. 6 al. 2 LAA, selon sa nouvelle teneur entrée en vigueur le 1 er janvier 2017, «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w:t>
      </w:r>
    </w:p>
    <w:p>
      <w:r>
        <w:rPr>
          <w:b/>
        </w:rPr>
        <w:t>E. 6.2</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de l'ordonnance sur l'assurance-accidents du 20 décembre 1982 (OLAA - RS 832.202)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 ATF 116 V 145 consid. 6c ; ATF 114 V 301 consid. 3c).</w:t>
      </w:r>
    </w:p>
    <w:p>
      <w:r>
        <w:rPr>
          <w:b/>
        </w:rPr>
        <w:t>E. 6.3</w:t>
      </w:r>
    </w:p>
    <w:p>
      <w:r>
        <w:t>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w:t>
      </w:r>
    </w:p>
    <w:p>
      <w:r>
        <w:rPr>
          <w:b/>
        </w:rPr>
        <w:t>E. 7.1</w:t>
      </w:r>
    </w:p>
    <w:p>
      <w:r>
        <w:t>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Partant, un fait nouveau permettant la révision procédurale d'une décision entrée en force doit exister au moment où cette décision a été rendue, mais être découvert après coup (arrêt du Tribunal fédéral 9C_328/2014 du 6 août 2014 consid. 6.1).</w:t>
      </w:r>
    </w:p>
    <w:p>
      <w:r>
        <w:rPr>
          <w:b/>
        </w:rPr>
        <w:t>E. 7.2</w:t>
      </w:r>
    </w:p>
    <w:p>
      <w:r>
        <w:t>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Ainsi, il ne suffit pas qu'une nouvelle expertise donne une appréciation différente des faits ; il faut bien plutôt des éléments de fait nouveaux, dont il résulte que les bases de la décision entreprise comportaient des défauts objectifs.</w:t>
      </w:r>
    </w:p>
    <w:p>
      <w:r>
        <w:rPr>
          <w:b/>
        </w:rPr>
        <w:t>E. 7.3</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w:t>
      </w:r>
    </w:p>
    <w:p>
      <w:r>
        <w:rPr>
          <w:b/>
        </w:rPr>
        <w:t>E. 7.4</w:t>
      </w:r>
    </w:p>
    <w:p>
      <w:r>
        <w:t>La notion de faits ou moyens de preuve nouveaux s'apprécie de la même manière en cas de révision (procédurale) d'une décision administrative (art. 53 al. 1 LPGA), de révision d'un jugement cantonal (art. 61 let. i LPGA) ou de révision d'un arrêt fondée sur l'ancien art. 137 lettre b OJ (ATFA non publié C 175/04 consid. 2.2 du 29 novembre 2005).</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l’espèce, la recourante invoque avoir déposé en temps utiles une demande de révision en s’appuyant sur le rapport du Dr J______ du 3 mars 2022, lequel a analysé la causalité entre les lésions aux ligaments établies par l’IRM du 30 novembre 2021 et l’accident de février 2017, soit après l’entrée en force de la décision du 25 janvier 2021. L’intimée, de son côté, estime que la demande est tardive car émise plus de 90 jours après l’IRM du 30 novembre 2021 et qu’en tout état de cause, la recourante n’établit pas l’existence de faits nouveaux. Il convient de déterminer en premier lieu si c'est l'IRM du 30 novembre 2021 ou le rapport du 3 mars 2022 qui constitue un éventuel fait ou moyen de preuve nouveau. En l'espèce, la Cour de céans constate que l'IRM a mis en évidence des lésions alors que le rapport du 3 mars 2022 avait pour but d'évaluer l'éventuel lien de causalité entre lesdites lésions et l'accident de 2017. Il sied dès lors de retenir que c'est l'IRM, soit un moyen de preuve nouveau qui a mis en évidence un fait nouveau, soit les lésions. En effet, l'analyse d'un éventuel lien de causalité n'a pu avoir lieu qu'en raison de la découverte desdites lésions, il en était donc dépendant. Comme le relève à juste titre la recourante, elle n'a pas de formation médicale. Dès lors, bien que soutenue par sa famille et par l'assistante sociale de son employeur, toutes étant sensibilisées à la problématique assécurologique de son dossier, il semble difficile de considérer qu'elle ait pu comprendre les pathologies présentées sur la seule base des résultats de l'IRM sans avoir d'explications ou de discussion avec un médecin. Or, selon les éléments au dossier, les résultats de l'IRM n'ont été discutés qu'à la consultation du 28 janvier 2022, date à laquelle une opération a d'ailleurs été proposée et acceptée par la recourante. La Cour de céans retiendra ainsi que le délai de 90 jours n'a commencé à courir que le 28 janvier 2022. Par conséquent, la demande de révision déposée le 4 avril 2022 l'a été en temps utiles. Reste à examiner si les autres conditions de la révision sont réalisées. Ainsi, conformément aux principes rappelés ci-dessus, il faut notamment que le diagnostic, soit les lésions ligamentaires, porte sur un fait antérieur à la décision du 25 janvier 2021. La Cour de céans considère que la recourante n'a pas établi au degré de la vraisemblance prépondérante que les lésions ligamentaires constatées plus de quatre ans après l'accident, malgré un suivi médical continu, étaient déjà présentes à ce moment-là. En effet, le Dr J______ s'est limité à conclure que les examens réalisés préalablement n'étaient pas assez performants ou à tout le moins n'avaient pas permis de les objectiver sans autre développement pour expliquer que lesdites lésions n'aient pas été décelées notamment à l'échographie qui existait déjà au dossier. Partant, cette condition faisant défaut, le refus d'entrer en matière de l'intimée est fondé, sans qu'il soit nécessaire de procéder aux actes d'instruction sollicités par la recourante. Au vu de ce qui précède, le recours sera rejeté.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