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A/4114/2013 vom 5. April 2016</w:t>
      </w:r>
    </w:p>
    <w:p>
      <w:r>
        <w:t>GE Cour de justice, 2016-04-05, FR</w:t>
      </w:r>
    </w:p>
    <w:p>
      <w:r>
        <w:rPr>
          <w:b/>
        </w:rPr>
        <w:t xml:space="preserve">Quelle: </w:t>
      </w:r>
      <w:r>
        <w:t>https://mcp.opencaselaw.ch/entscheid/ge_gerichte_A_4114_2013</w:t>
      </w:r>
    </w:p>
    <w:p>
      <w:r>
        <w:t>FR: GE_GERICHTE A/4114/2013 du 5 avril 2016</w:t>
      </w:r>
    </w:p>
    <w:p>
      <w:r>
        <w:t>IT: GE_GERICHTE A/4114/2013 del 5 aprile 2016</w:t>
      </w:r>
    </w:p>
    <w:p>
      <w:pPr>
        <w:pStyle w:val="Heading2"/>
      </w:pPr>
      <w:r>
        <w:t>Regeste</w:t>
      </w:r>
    </w:p>
    <w:p>
      <w:r>
        <w:t>CONSTRUCTION ET INSTALLATION ; PERMIS DE CONSTRUIRE ; DROIT PUBLIC DES CONSTRUCTIONS ; VILLA ; ORDRE CONTIGU ; POUVOIR D'APPRÉCIATION | : confirmation d'une autorisation de construire quatre villas en ordre contigu avec parking souterrain et vérandas. Examen de l'application faite de la dérogation à la prise en compte de la construction de garages au sous-sol dans le calcul du rapport des surfaces. Examen du grief d'incompatibilité avec le caractère, l'harmonie et l'aménagement du quartier. Examen des inconvénients graves allégués s'agissant de la stabilité des bâtiments édifiés sur la parcelle voisine. | LCI.2.al3; LCI.6. LCI.14; LCI.59.al4; LCI.122</w:t>
      </w:r>
    </w:p>
    <w:p>
      <w:pPr>
        <w:pStyle w:val="Heading2"/>
      </w:pPr>
      <w:r>
        <w:t>Erwägungen</w:t>
      </w:r>
    </w:p>
    <w:p>
      <w:r>
        <w:rPr>
          <w:b/>
        </w:rPr>
        <w:t>E. 1</w:t>
      </w:r>
    </w:p>
    <w:p>
      <w:r>
        <w:t>ère section dans la cause Madame Marie-Thérèse et Monsieur Michel DE FRAIPONT représentés par Me Diane Schasca, avocate contre DÉPARTEMENT DE L'AMÉNAGEMENT, DU LOGEMENT ET DE L'ÉNERGIE - OAC et DÉPARTEMENT DE L'ENVIRONNEMENT, DES TRANSPORTS ET DE L'AGRICULTURE et Madame Patricia FRANCIS GERSTEL et Monsieur Eric GERSTEL représentés par Me Michel d'Alessandri, avocat et Madame Cornelia et Monsieur Martin DA COSTA et Madame Christiane et Monsieur Alain RIETHER représentés par Me Daniel Meyer, avocat _________ Recours contre le jugement du Tribunal administratif de première instance du 25 juin 2014 ( JTAPI/715/2014 ) EN FAIT 1) Madame Patricia FRANCIS GERSTEL et Monsieur Eric GERSTEL sont propriétaires de la parcelle n o 10'188, feuille 36, de la commune de Plan-les-Ouates, d'une surface de 1'344 m</w:t>
      </w:r>
    </w:p>
    <w:p>
      <w:r>
        <w:rPr>
          <w:b/>
        </w:rPr>
        <w:t>E. 2</w:t>
      </w:r>
    </w:p>
    <w:p>
      <w:r>
        <w:t>nécessitant une gestion quantitative des eaux pluviales pour le périmètre et le milieu récepteur concerné, aux dires des spécialistes de la DGEau, dont la compétence en la matière est donnée par l'art. 7 al. 2 de la loi sur les eaux du 5 juillet 1961 (LEaux-GE - L 2 05). En outre, le préavis dont les conditions font également partie intégrante de l'autorisation délivrée (ch. 4), prévoit qu'une vérification de toutes les surfaces effectivement connectées pourra être effectuée dans le cadre des contrôles avant l'occupation des locaux. De plus, les recommandations faites dans le préavis quant à la minimisation de l'imperméabilisation des sols, ont été intégrées dans le projet de construction, à tout le moins s'agissant des toitures végétalisées. b. Les requérants intimés ont, au stade de la demande d'autorisation, fait procéder à un repérage et constat des canalisations sur leur terrain et deux rapports ont été produits. Les représentants de la DGEau ont précisé, lors du transport sur place, d'une part, que le dossier était suffisant pour se prononcer et d'autre part, que le préavis comportait des conditions. Lors de la mise en oeuvre de l'autorisation, il incomberait aux requérants de faire vérifier que leur collecteur privé a bien la capacité de déverser l'eau dans les collecteur publics (point 01.06.27 du préavis). Le préavis du service spécialisé suffit ainsi à fonder la décision du département qui l'intègre d'ailleurs à son chiffre 4. c. S'agissant plus précisément du ruissellement, dont rien ne permet de penser qu'il induirait des inconvénients graves ou des dangers particuliers pour la sécurité ou la salubrité sur les parcelles avoisinantes, au sens de l'art. 14 al. 1 LCI, il s'agit d'une question de droit privé qui ne saurait être examinée dans le cadre du présent recours. Les griefs des recourants seront donc écartés. 7) Les recourants estiment que la taille du projet aurait dû être réduite pour des raisons esthétiques, celle-ci n'étant pas compatible avec le caractère, l'harmonie et l'aménagement du quartier. a. En zone villa, lorsque les circonstances le justifient et que cette mesure est compatible avec le caractère, l'harmonie et l'aménagement du quartier, le département peut autoriser, après consultation de la commune et de la CA un projet dérogeant au rapport des surfaces (art. 59 al. 4 let. a LCI). La dérogation est par ailleurs croissante plus le standard de performance énergétique est élevé. Ainsi le rapport de 30 % pour un projet de THPE (art. 59 al. 1 LCI) peut être autorisé jusqu'à 48 % dans les mêmes conditions ou de 44 % si le standard n'est que de haute performance énergétique ou 40 % sans standard particulier (art. 59 al. 4 LCI). En l'espèce, le projet, de THPE, prévoit un rapport de surfaces de 41 % n'atteignant pas le maximum autorisé, ce qui n'est pas contesté, et a obtenu le préavis favorable de la CA et celui, défavorable, de la commune. b. Lorsque la loi autorise l'autorité administrative à déroger à l'une de ses dispositions, notamment en ce qui concerne les constructions admises dans une zone, elle confère à cette autorité un pouvoir d'appréciation qui n'est limité que par l'excès ou l'abus, la chambre de céans n'ayant pas compétence pour apprécier l'opportunité des décisions prises (art. 61 al. 2 LPA). c. Selon une jurisprudence bien établie, chaque fois que l'autorité inférieure suit les préavis requis - étant entendu qu'un préavis sans observation équivaut à un préavis favorable (ATA S.I.A. du 18 janvier 1984) -, la juridiction de recours doit s'imposer une certaine retenue, qui est fonction de son aptitude à trancher le litige (Thierry TANQUEREL, Manuel de droit administratif, 2011, p. 168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ATA/51/2013 du 29 janvier 2013 ; ATA/199/2013 du 26 mars 2012).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 ATA/147/2011 du 8 mars 2011 consid. 14 ; ATA/51/2006 du 31 janvier 2006 ; ATA/609/2004 du 5 août 2004 consid. 5b). La chambre administrative est en revanche libre d'exercer son propre pouvoir d'examen lorsqu'elle procède elle-même à des mesures d'instruction, à l'instar d'un transport sur place ( ATA/98/2012 du 21 février 2012 ; ATA/23/2007 du 23 janvier 2007 consid. 5 ; ATA/440/2006 du 31 août 2006 consid. 4c ; ATA/59/2004 du 20 janvier 2004 consid. 5 ; François PAYCHERE, Pouvoir d'examen et pouvoir de décision du Tribunal administratif, RDAF 2000 I, p. 543, et les autres références citées). d. En l'espèce, les préavis de la CA et de la commune ne sont pas concordants. De plus, le premier, bien que favorable ne se prononce pas sur l'intégration du projet dans le quartier et le préavis de la commune ne se prononce pas non plus sur cet aspect. e. La zone villa concernée ne bénéficie d'aucune protection particulière et les constructions ne sont ainsi soumises à aucune contrainte s'agissant de l'expression architecturale. f. Le projet querellé ne présente certes pas les mêmes caractéristiques architecturales que les villas individuelles situées aux alentours immédiats. Il consiste dans un autre type d'habitat, dit en ordre contigu, dont l'implantation modifiera, à terme, la configuration de cette partie de la zone villa. Le législateur a eu conscience de cette évolution et a souhaité encourager la réalisation de ces nouvelles formes d'habitat (groupé ou en ordre contigu), lorsqu'il a augmenté les indices d'utilisation du sol dérogatoires susceptibles d'être appliqués dans cette zone (cf. l'intervention de Monsieur Christophe AUMEUNIER, rapporteur de majorité, lors du premier débat consacré au PL 10'891, MGC 2012/II/A/ p. 1432 ss). Il a considéré cette évolution comme une réponse utile et nécessaire par rapport aux problèmes de l'exiguïté du territoire et de la pénurie de logements et manifesté sa volonté d'appliquer l'art. 59 al. 4 let. a LCI partout où les dérogations prescrites pouvaient avoir lieu ( ATA/828/2015 du 11 août 2015). À cela s'ajoute qu'à l'échelle du quartier, qui est celle retenue par l'art. 59 al. 4 LCI, le transport sur place effectué en cours d'instruction et les photographies prises à cette occasion, ont notamment permis de constater que certains des bâtiments de grande taille situés dans la zone de développement 3, sis à proximité immédiate de la parcelle concernée, étaient visibles depuis celle-ci. En outre, le quartier des Voirets, adjacent, est constitué presque uniquement de villas contiguës. Ainsi, contrairement à ce que soutiennent les recourants, le quartier n'est pas que composé de villas anciennes ou de style ancien se caractérisant par des toits en pente recouverts de tuiles, et son caractère ne saurait être qualifié ni d'homogène, ni de rural. Il découle de ce qui précède que le département n'a pas excédé ou abusé du pouvoir d'appréciation que lui confère l'art. 59 al. 4 let. a LCI, en délivrant l'autorisation querellée, ce que le TAPI, composé pour partie de spécialistes, a également retenu. 8) Les recourants reprochent encore au DALE d'avoir continué l'instruction de la requête suite au préavis défavorable de la commune, alors que la loi exigeait, à l'époque, l'accord de la commune. L'ancienne LCI prévoyait, jusqu'à l'entrée en vigueur le 26 janvier 2013, du nouvel art. 59 al. 4 LCI, adopté le 30 novembre 2011, l'accord de la commune pour une dérogation au rapport des surfaces pour les projets de construction en ordre contigu ou sous forme d'habitat groupé. Selon la doctrine et la jurisprudence,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Ib 299 ; ATA/56/2013 du 29 janvier 2013). En statuant sur une demande d'autorisation suivant des prescriptions devenues obligatoires après son dépôt, le juge ou l'autorité ne tombe pas dans l'arbitraire, ni ne viole une disposition impérative ou la garantie de la propriété (ATF 107 1b 138 ; ATA/653/2014 du 19 août 2014 ; ATA/56/2013 précité ; ATA/22/2009 du 13 janvier 2009 ; ATA/792/2004 du 19 octobre 2004 ; ATA/541/2002 du 10 septembre 2002 : Pierre MOOR/Alexandre FLÜCKIGER/ Vincent MARTENET, Droit administratif, vol. I, Les fondements, 2012, p. 194-195). Le grief sera écarté. 9) Les recourants estiment que les constructions projetées mettent en danger la stabilité des bâtiments édifiés sur leur parcelle et impliquent des inconvénients graves pour les usagers et le voisinage au sens de l'art. 14 LCI. a. La LCI vise en premier lieu à protéger l'intérêt public à ce que soient élevées sur le territoire des constructions qui présentent certaines qualités, notamment en terme de conception, de solidité, d'aspect et de sécurité. Dans ce but, le législateur a prévu que les plans soient élaborés, visés et exécutés, sous leur responsabilité, par des professionnels dont les qualifications répondent à certains critères (art. 2 al. 3 LCI). Il en va de même de la direction des travaux (art. 6 LCI). En outre, les propriétaires sont responsables, dans l'application de la LCI et sous réserve des droits civils, de la sécurité et de la salubrité des constructions et installations (art. 122 LCI). b. Le département peut refuser des autorisation de construire lorsqu'une construction ou une installation peut être la cause d'inconvénients graves pour les usagers, le voisinage ou le public ; ne remplit pas les conditions de sécurité et de salubrité qu'exige son exploitation ou son utilisation ; ne remplit pas des conditions de sécurité et de salubrité suffisantes à l'égard des voisins ou du public ; offre des dangers particuliers (notamment incendie, émanations nocives ou explosions), si la surface de la parcelle sur laquelle elle est établie est insuffisante pour constituer une zone de protection ; peut créer, par sa nature, sa situation ou le trafic que provoque sa destination ou son exploitation, un danger ou une gêne durable pour la circulation (art. 14 al. 1 let. a à e LCI).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 ATA/699/2015 du 30 juin 2015 ; ATA/801/2014 du 14 octobre 2012 et les références citées).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ATA/699/2015 du 30 juin 2015 ; ATA/86/2015 du 20 janvier 2015 et les arrêts cités). Comme vu ci-dessus, la construction est conforme aux normes applicables en zone villa et de ce point de vue, elle ne saurait donc occasionner des inconvénients graves aux recourants. c. S'agissant plus précisément des travaux liés au sous-sol que critiquent les recourants, il convient de souligner que dans son préavis, le GESDEC n'a pas formulé de remarque particulière au sujet du projet. Le représentant du service, entendu en audience, a réitéré sa position fondée également sur le rapport d'Intersol produit par les intimés et le fait qu'il s'agissait d'un rapport intermédiaire à compléter lors de la mise en oeuvre des travaux. En outre, les travaux d'une profondeur inférieure à 4 m ne nécessitaient pas de préavis spécifique du service. Le rapport de Geolab du 24 décembre 2013 produit par les recourants ainsi que le témoignage de M. PERRIN, ingénieur géotechnicien responsable du rapport, recueilli dans le cadre de l'instruction du recours, permettent uniquement de retenir qu'il existe un risque d'instabilité des petites constructions situées en bordure de parcelle, lors de la réalisation des sous-sols. Les autres dangers évoqués ne concernent que des travaux qui ne seraient pas effectués dans les règles de l'art. Le rapport d'Intersol quant à lui prévoit que la conception et le dimensionnement de l'ouvrage de soutènement provisoire seront effectués dans le cadre d'une étude géotechnique spécifique. La présence des bâtiments de peu d'importance construit en bordure de parcelle est en outre relevée dans le rapport s'agissant de l'état des mitoyens, encastrement et zone d'influence géotechnique (p. 14 rapport Intersol). Il convient dès lors de relativiser les conclusions de Geolab dans la mesure où ni le dimensionnement exact de l'ouvrage de soutènement, ni les mesures constructives choisies, ne sont connues à ce jour. Au vu de ce qui précède, il apparaît que les dangers mis en avant par les recourants sont surtout liés à une mauvaise exécution des travaux, qui ne prendraient pas en compte les particularités du sous-sol, mais ne sont pas attachés aux constructions elles-mêmes. En conclusion, il n'apparaît pas que le projet autorisé serait de nature à occasionner des dommages. En conséquence le grief d'une violation de l'art. 14 LCI sera écarté. 10) Finalement, les recourants invoquent une violation de l'art. 57 LCI, le projet ne prévoyant pas de buanderie. L'intérêt digne de protection nécessaire à la recevabilité du recours des voisins est admis lorsqu'ils se prévalent de normes ayant des effets concrets ou juridiques sur leur situation (arrêt du Tribunal fédéral 1C_565/2012 du 23 janvier 2013 consid. 2.1 in fine ; ATF 133 II 249 consid. 1.3.2 p. 253 ; ATA/649/2012 du 25 septembre 2012). Tel est notamment le cas des règles régissant la densité et le volume des constructions ainsi que de celles relatives aux distances entre les constructions (ATF 127 I 44 consid. 2d p. 47). En revanche, tel n'est pas le cas, en principe, s'agissant de l'aménagement intérieur des bâtiments. Le grief ne sera ainsi pas examiné plus avant. 11) Entièrement infondé, le recours sera rejeté. Vu l'issue du litige, un émolument de CHF 1'500.- sera mis à la charge des recourants (art. 87 al. 1 LPA). Une indemnité de procédure de CHF 1'000.- sera allouée aux intimés, à la charge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