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A/4113/2021 vom 7. Dezember 2022</w:t>
      </w:r>
    </w:p>
    <w:p>
      <w:r>
        <w:t>GE Cour de justice, 2022-12-07, FR</w:t>
      </w:r>
    </w:p>
    <w:p>
      <w:r>
        <w:rPr>
          <w:b/>
        </w:rPr>
        <w:t xml:space="preserve">Quelle: </w:t>
      </w:r>
      <w:r>
        <w:t>https://mcp.opencaselaw.ch/entscheid/ge_gerichte_A_4113_2021</w:t>
      </w:r>
    </w:p>
    <w:p>
      <w:r>
        <w:t>FR: GE_GERICHTE A/4113/2021 du 7 décembre 2022</w:t>
      </w:r>
    </w:p>
    <w:p>
      <w:r>
        <w:t>IT: GE_GERICHTE A/4113/2021 del 7 dicembre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Interjeté dans les forme et délai prévus par la loi, le recours est recevable (art. 56ss LPGA).![endif]&gt;![if&gt;</w:t>
      </w:r>
    </w:p>
    <w:p>
      <w:r>
        <w:rPr>
          <w:b/>
        </w:rPr>
        <w:t>E. 3</w:t>
      </w:r>
    </w:p>
    <w:p>
      <w:r>
        <w:t>Le litige porte sur le droit de l’intimée de réclamer à la recourante le paiement de primes de l’assurance-accidents obligatoire pour l’activité exercée par l’appelé en cause entre le 1 er janvier 2017 au 31 décembre 2020, singulièrement sur la question du statut de ce dernier (salarié ou indépendant).![endif]&gt;![if&gt;</w:t>
      </w:r>
    </w:p>
    <w:p>
      <w:r>
        <w:rPr>
          <w:b/>
        </w:rPr>
        <w:t>E. 4</w:t>
      </w:r>
    </w:p>
    <w:p>
      <w:r>
        <w:t>![endif]&gt;![if&gt;</w:t>
      </w:r>
    </w:p>
    <w:p>
      <w:r>
        <w:rPr>
          <w:b/>
        </w:rPr>
        <w:t>E. 4.1</w:t>
      </w:r>
    </w:p>
    <w:p>
      <w:r>
        <w:t>Selon l’art. 1 a LAA, les travailleurs occupés en Suisse sont assurés à titre obligatoire contre le risque d’accident. Est réputé travailleur au sens de cette disposition quiconque exerce une activité lucrative dépendante au sens de la loi fédérale sur l’assurance-vieillesse et survivants du 20 décembre 1946 (LAVS – RS 831.10 ; art. 1 de l’ordonnance sur l’assurance-accidents du 20 décembre 1982, OLAA – RS 832.202).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art. 6 ss du règlement sur l’assurance-vieillesse et survivants du 31 octobre 1947, RAVS – RS 831.101). ![endif]&gt;![if&gt; Est considéré comme salaire déterminant toute rétribution pour un travail dépendant effectué dans un temps déterminé ou indéterminé (art. 5 al. 2 LAVS). Quant au revenu provenant d’une activité indépendante, il comprend tout revenu du travail autre que la rémunération pour un travail accompli dans une situation dépendante (art. 9 al. 1 LAVS).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ATF 123 V 161 consid. 1 et les références). Il n’existe toutefois aucune présomption juridique en faveur de l’activité salariée ou indépendante (Directives sur le salaire déterminant dans l’AVS, AI et APG [DSD] édictées par l’OFAS, ch. 1020). La notion de dépendance englobe les rapports créés par un contrat de travail, mais elle les déborde largement (cf. GREBER, DUC, SCARTAZZINI, Commentaire des art. 1 à 16 de la loi fédérale sur l’assurance-vieillesse et survivants, 1997, n. 94 ad art. 4 LAVS et les références). Il peut en effet arriver qu’un tribunal civil qualifie une relation juridique de mandat ou de contrat d’entreprise, alors que l’assureur ou le juge social la considère comme un cas d’activité lucrative dépendante (ATF 97 V 134 consid. 3 ; Jean-Philippe DUNAND, in Commentaire romand de la LPGA, n. 56 ad art. 10).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 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w:t>
      </w:r>
    </w:p>
    <w:p>
      <w:r>
        <w:rPr>
          <w:b/>
        </w:rPr>
        <w:t>E. 4.2</w:t>
      </w:r>
    </w:p>
    <w:p>
      <w:r>
        <w:t>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Peter GAUCH, Der Werkvertrag, 5ème éd. 2011, n. 137 p. 53; Pierre TERCIER/ Pascal G. FAVRE, Les contrats spéciaux, 4ème éd. 2009, p. 644, n. 4290 ; voir également François CHAIX, Le contrat de sous-traitance en droit suisse, 1995, p. 85 ss. ; arrêt du Tribunal fédéral 9C_782/2014 du 25 août 2015 consid. 6.1.1).![endif]&gt;![if&gt; Entre l'entrepreneur principal et le sous-traitant, la relation est régie par un contrat d'entreprise au sens de l'art. 363 du code des obligations (CO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 JdT 1998 I 612), c'est donc l'entrepreneur principal qui répond à l'égard du maître principal de l'exécution des travaux effectués par les sous-traitants ; ceux-ci sont en effet des auxiliaires de l'exécution (art. 101 CO ; ATF 116 II 305 ,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Pierre TERCIER/ Pascal G. FAVRE, op. cit. n. 4294 ss). Se référant à la doctrine, le Tribunal fédéral des assurances a considéré, dans son arrêt H 169/04 du 21 avril 2005, que les sous-traitants et les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(consid. 4.4). Cette jurisprudence a été confirmée, à plusieurs reprises par la suite (arrêts du Tribunal fédéral 8C_484/2010 du 12 mai 2011 consid. 3.3 ; 9C_1062/2010 du 5 juillet 2011 consid. 7.5, 8C_367/2011 du 12 avril 2012 consid. 2.4 ; 8C_597/2011 du 10 mai8 2012 consid. 2.3 ; 9C_624/2011 du 25 septembre 2012 consid. 2.2). À chaque fois, le Tribunal fédéral s’est demandé si l’intéressé, qui se prétendait indépendant et intervenait en qualité de sous-traitant, traitait sur un pied d’égalité avec les entreprises principales. Lorsque l’intéressé intervenait majoritairement pour des particuliers, son statut était celui d’indépendant. Lorsqu’il œuvrait principalement, voire exclusivement, en qualité de sous-traitant, il était considéré comme salarié. Dans un arrêt du 27 février 1970, le Tribunal fédéral des assurances a considéré qu’en présence d’un dossier ne contenant ni convention ni décomptes écrits, on ne pouvait déduire de la simple production de quittances signées par un sous-traitant que celui-ci formait, avec un associé, une société simple mandatée par l’entrepreneur principal. Aussi le TFA a-t-il jugé que les associés A et B ne traitaient pas sur un pied d’égalité avec l’entrepreneur qui leur avait confié le travail, d’autant que la preuve d’une activité indépendante n’avait pas été apportée (RCC 1970 p. 369-370). Dans le secteur du gros-œuvre et du second œuvre, la question de savoir si le sous-traitant traite sur un pied d’égalité avec l’entrepreneur principal dépend notamment de la question de savoir qui répond de l’exécution défectueuse des travaux vis-à-vis du maître de l’ouvrage (arrêt du Tribunal fédéral H 191/05 du 30 juin 2006 consid. 4.1).</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w:t>
      </w:r>
    </w:p>
    <w:p>
      <w:r>
        <w:rPr>
          <w:b/>
        </w:rPr>
        <w:t>E. 5</w:t>
      </w:r>
    </w:p>
    <w:p>
      <w:r>
        <w:t>![endif]&gt;![if&gt;</w:t>
      </w:r>
    </w:p>
    <w:p>
      <w:r>
        <w:rPr>
          <w:b/>
        </w:rPr>
        <w:t>E. 5.1</w:t>
      </w:r>
    </w:p>
    <w:p>
      <w:r>
        <w:t>En l’espèce, il ressort des déclarations de l’administrateur de la recourante à la chambre de céans qu’il ne s’est pas assuré du fait que l’appelé en cause avait un statut d’indépendant, se contentant de le croire sur parole sur cette question, au motif qu’ils se connaissaient de longue date. ![endif]&gt;![if&gt; L’appelé en cause admet qu’il n’avait pas le statut d’indépendant, précisant qu’il pensait que l’administrateur le croyait indépendant, car il l’avait été jusqu'en 2017. Il savait qu’il fallait avoir le statut d'indépendant et était conscient de travailler sans cette attestation dès 2017, mais il avait fait ce choix, car il avait besoin de revenus pour subvenir à ses besoins.</w:t>
      </w:r>
    </w:p>
    <w:p>
      <w:r>
        <w:rPr>
          <w:b/>
        </w:rPr>
        <w:t>E. 5.2</w:t>
      </w:r>
    </w:p>
    <w:p>
      <w:r>
        <w:t>Le fait que les témoins entendus par la chambre de céans, tous deux employés de la recourante, aient pu penser que l’appelé en cause était indépendant n’est pas déterminant. Il convient d’examiner cette question, sur la base des critères développés par la jurisprudence.![endif]&gt;![if&gt;</w:t>
      </w:r>
    </w:p>
    <w:p>
      <w:r>
        <w:rPr>
          <w:b/>
        </w:rPr>
        <w:t>E. 5.2.1</w:t>
      </w:r>
    </w:p>
    <w:p>
      <w:r>
        <w:t>Selon ses dires, l’appelé en cause a également travaillé pour d'autres personnes pendant la période en cause, mais ses revenus provenaient à 80% de la recourante. Ces déclarations sont confirmées par la comptabilité de la recourante, dont il ressort qu’il a travaillé régulièrement pour elle, en particulier entre 2017 et 2019. Une collaboration régulière constitue un indice de rapport de dépendance.![endif]&gt;![if&gt;</w:t>
      </w:r>
    </w:p>
    <w:p>
      <w:r>
        <w:rPr>
          <w:b/>
        </w:rPr>
        <w:t>E. 5.2.2</w:t>
      </w:r>
    </w:p>
    <w:p>
      <w:r>
        <w:t>L’appelé en cause a déclaré qu’après la faillite de E______ SA, il avait continué son activité et n'avait plus qu'une machine. Il avait des locaux à J______ où se trouvaient les machines. Il bricolait un peu. Une dame s'occupait des papiers. Il louait des machines de terrassement et n’avait pas de chantiers importants. Il utilisait également une machine de la recourante qui permettait de faire des petits terrassements. Il ressort des déclarations qui précèdent que l’appelé en cause n’a pas procédé à des investissements importants. Le simple établissement de factures ne permet en outre pas d’admettre l’existence d’une véritable organisation d’entreprise.![endif]&gt;![if&gt;</w:t>
      </w:r>
    </w:p>
    <w:p>
      <w:r>
        <w:rPr>
          <w:b/>
        </w:rPr>
        <w:t>E. 5.2.3</w:t>
      </w:r>
    </w:p>
    <w:p>
      <w:r>
        <w:t>La recourante a fait valoir que les architectes la mettaient sur un pied d’égalité avec l’appelé en cause. Elle a produit à cet égard deux courriels de M. G______. Dans le premier, daté du 5 août 2016, celui-ci demandait à l’appelé en cause de préparer un devis pour faire le ménage sur un chantier. Dans le second, daté du 4 septembre 2016, qui était adressé à l’appelé en cause, au fils de celui-ci et à l’administrateur de la société, il leur demandait de faire le ménage sur ledit chantier.![endif]&gt;![if&gt; L’appelé en cause a déclaré n’avoir jamais travaillé directement pour M. G______, mais toujours par le biais de la société et que si ce dernier lui avait donné des instructions, c'était pour des chantiers de la recourante. Il lui avait demandé un devis, mais ne l’avait pas accepté. L’on ne peut déduire de ces seuls courriels que l’appelé en cause était traité à égalité avec l’administrateur de la recourante. Il ne ressort en effet pas du dossier que l’appelé en cause traitait sur pied d’égalité avec l’administrateur de la recourante, quand bien même ils se connaissaient depuis longtemps, ayant été collègues quelques années. En effet, l’appelé en cause était dans une situation financière difficile et il dépendait notamment de l’administrateur de la recourante pour obtenir du travail dont il avait besoin pour subvenir à ses besoins. La situation financière de la recourante était meilleure, puisqu’elle obtenait des mandats et ne travaillait pas comme sous-traitante. Dans ces circonstances, l’activité de l’appelé en cause doit être qualifiée d’activité dépendante, selon la jurisprudence.</w:t>
      </w:r>
    </w:p>
    <w:p>
      <w:r>
        <w:rPr>
          <w:b/>
        </w:rPr>
        <w:t>E. 5.2.4</w:t>
      </w:r>
    </w:p>
    <w:p>
      <w:r>
        <w:t>L’appelé en cause a encore déclaré que sur les chantiers, l’administrateur de la recourante lui donnait des instructions et des ordres précis, ce qui démontre un lien de subordination, qui constitue encore un indice d’activité dépendante.![endif]&gt;![if&gt; Enfin et surtout, il apparaît que l’appelé en cause n’a pas encouru de risque économique, la recourante devant rendre seule des comptes aux entreprises qui l’avaient mandatée.</w:t>
      </w:r>
    </w:p>
    <w:p>
      <w:r>
        <w:rPr>
          <w:b/>
        </w:rPr>
        <w:t>E. 5.2.5</w:t>
      </w:r>
    </w:p>
    <w:p>
      <w:r>
        <w:t>Au vu de ce qui précède, et conformément aux jurisprudences susmentionnées, il est établi au degré de la vraisemblance prépondérante que l’appelé en cause n’a pas eu une activité indépendante pour la recourante et les rémunérations qui lui ont été versées par celle-ci ont été correctement considérées comme du salaire par l’intimée, de sorte que le rattrapage de cotisation auquel elle a procédé, par décisions du 27 juillet 2021, doit être confirmé.![endif]&gt;![if&gt;</w:t>
      </w:r>
    </w:p>
    <w:p>
      <w:r>
        <w:rPr>
          <w:b/>
        </w:rPr>
        <w:t>E. 6</w:t>
      </w:r>
    </w:p>
    <w:p>
      <w:r>
        <w:t>Il convient encore de s’assurer que la prétention de l’intimée n’était pas prescrite.![endif]&gt;![if&gt;</w:t>
      </w:r>
    </w:p>
    <w:p>
      <w:r>
        <w:rPr>
          <w:b/>
        </w:rPr>
        <w:t>E. 6.1</w:t>
      </w:r>
    </w:p>
    <w:p>
      <w:r>
        <w:t>L’art. 16 LAVS distingue la prescription du droit de fixer les cotisations (al. 1), de recouvrer les cotisations (al. 2) et de réclamer la restitution des cotisations indues (al. 3).![endif]&gt;![if&gt; Selon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w:t>
      </w:r>
    </w:p>
    <w:p>
      <w:r>
        <w:rPr>
          <w:b/>
        </w:rPr>
        <w:t>E. 6.2</w:t>
      </w:r>
    </w:p>
    <w:p>
      <w:r>
        <w:t>En l’occurrence, l’intimée a facturé les cotisations pour les années 2017 à 2020, le 26 juillet 2021, soit dans le délai légal de cinq ans prévu par l’art. 16 al. 1 LAVS.![endif]&gt;![if&gt; Cette décision n’étant pas entrée en force, le délai de prescription pour recouvrer la créance de cotisation au sens de l’art. 16 al. 2 LAVS n’a pas encore commencé à courir.</w:t>
      </w:r>
    </w:p>
    <w:p>
      <w:r>
        <w:rPr>
          <w:b/>
        </w:rPr>
        <w:t>E. 7</w:t>
      </w:r>
    </w:p>
    <w:p>
      <w:r>
        <w:t>Infondé, le recours sera rejeté.![endif]&gt;![if&gt;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