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A/4110/2023 vom 30. Januar 2024</w:t>
      </w:r>
    </w:p>
    <w:p>
      <w:r>
        <w:t>GE Cour de justice, 2024-01-30, FR</w:t>
      </w:r>
    </w:p>
    <w:p>
      <w:r>
        <w:rPr>
          <w:b/>
        </w:rPr>
        <w:t xml:space="preserve">Quelle: </w:t>
      </w:r>
      <w:r>
        <w:t>https://mcp.opencaselaw.ch/entscheid/ge_gerichte_A_4110_2023</w:t>
      </w:r>
    </w:p>
    <w:p>
      <w:r>
        <w:t>FR: GE_GERICHTE A/4110/2023 du 30 janvier 2024</w:t>
      </w:r>
    </w:p>
    <w:p>
      <w:r>
        <w:t>IT: GE_GERICHTE A/4110/2023 del 30 gennaio 2024</w:t>
      </w:r>
    </w:p>
    <w:p>
      <w:pPr>
        <w:pStyle w:val="Heading2"/>
      </w:pPr>
      <w:r>
        <w:t>Erwägungen</w:t>
      </w:r>
    </w:p>
    <w:p>
      <w:r>
        <w:rPr>
          <w:b/>
        </w:rPr>
        <w:t>E. 1</w:t>
      </w:r>
    </w:p>
    <w:p>
      <w:r>
        <w:t>Interjeté devant la juridiction compétente et non soumis à un délai en raison de l'objet du litige, le recours est recevable (art. 132 de la loi sur l'organisation judiciaire du 26 septembre 2010 - LOJ ‑ E 2 05 ; art. 62 al. 1 let. a de la loi sur la procédure administrative du 12 septembre 1985 ‑ LPA ‑ E 5 10).![endif]&gt;![if&gt;</w:t>
      </w:r>
    </w:p>
    <w:p>
      <w:r>
        <w:rPr>
          <w:b/>
        </w:rPr>
        <w:t>E. 2</w:t>
      </w:r>
    </w:p>
    <w:p>
      <w:r>
        <w:t>Une partie peut recourir en tout temps pour déni de justice ou retard non justifié si l’autorité concernée ne donne pas suite rapidement à la mise en demeure prévue à l’art. 4 al. 4 LPA (art. 62 al. 6 LPA). ![endif]&gt;![if&gt;</w:t>
      </w:r>
    </w:p>
    <w:p>
      <w:r>
        <w:rPr>
          <w:b/>
        </w:rPr>
        <w:t>E. 2.1</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2.1).![endif]&gt;![if&gt; En cas de recours contre la seule absence de décision, les conclusions ne peuvent tendre qu’à contraindre l’autorité à statuer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2.2</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ATA/386/2018 du 24 avril 2018 consid. 2d).![endif]&gt;![if&gt;</w:t>
      </w:r>
    </w:p>
    <w:p>
      <w:r>
        <w:rPr>
          <w:b/>
        </w:rPr>
        <w:t>E. 3</w:t>
      </w:r>
    </w:p>
    <w:p>
      <w:r>
        <w:t>Aux termes de l'art. 12 Cst., quiconque est dans une situation de détresse et n'est pas en mesure de subvenir à son entretien a le droit d'être aidé et assisté et de recevoir les moyens indispensables pour mener une existence conforme à la dignité humaine. ![endif]&gt;![if&gt;</w:t>
      </w:r>
    </w:p>
    <w:p>
      <w:r>
        <w:rPr>
          <w:b/>
        </w:rPr>
        <w:t>E. 3.1</w:t>
      </w:r>
    </w:p>
    <w:p>
      <w:r>
        <w:t>En droit genevois, la loi sur l'insertion et l'aide sociale individuelle du 22 mars 2007 (LIASI - J 4 04) et le règlement d'exécution de la loi sur l'insertion et l'aide sociale individuelle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elle a la charge a droit à des prestations d'aide financière (art. 8 al. 1 LIASI). Celles-ci ne sont pas remboursables sous réserve des art. 12 al. 2 et 36 à 41 LIASI (art. 8 al. 2 LIASI). Elles sont subsidiaires à toute autre source de revenu (art. 9 al. 1 LIASI). ![endif]&gt;![if&gt;</w:t>
      </w:r>
    </w:p>
    <w:p>
      <w:r>
        <w:rPr>
          <w:b/>
        </w:rPr>
        <w:t>E. 3.2</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 ![endif]&gt;![if&gt; Selon l'art. 21 al. 2 LIASI, font partie des besoins de base le forfait pour l'entretien fixé par règlement du Conseil d'État (let. a), le loyer ainsi que les charges ou, si la demanderesse ou le demandeur est propriétaire de sa demeure permanente, les intérêts hypothécaires, dans les limites fixées par règlement du Conseil d'État (let. b), la prime d'assurance-maladie obligatoire des soins, prise en charge selon les modalités définies aux art. 21A et 21B LIASI (let. c) et les prestations circonstancielles destinées à prendre en charge d'autres frais, définies par règlement du Conseil d'État (let. d). L'art. 25 LIASI prévoit que peuvent être accordées aux personnes qui, en application des art. 21 à 24 LIASI, ont droit à des prestations d'aide financière, les prestations suivantes : les suppléments d'intégration à titre de prestations à caractère incitatif (let. a) et les autres prestations circonstancielles (let. b). Le Conseil d'État définit par règlement ces prestations et fixe leurs conditions d'octroi.</w:t>
      </w:r>
    </w:p>
    <w:p>
      <w:r>
        <w:rPr>
          <w:b/>
        </w:rPr>
        <w:t>E. 3.3</w:t>
      </w:r>
    </w:p>
    <w:p>
      <w:r>
        <w:t>Selon l'art. 9 al. 1 RIASI, en application de l'art. 25 al. 1 let. b LIASI, les autres prestations circonstancielles décrites ci-après sont accordées au bénéficiaire de prestations d'aide financière aux conditions cumulatives et dans les limites suivantes : les frais concernent des prestations de tiers reçues durant une période d’aide financière au sens de l’art. 28 LIASI (let. a) et la facture du prestataire ou le décompte de l’assureur relatif à ces frais sont présentés au remboursement dans le délai de trois mois à compter de la date à laquelle ils sont établis (al. 2).![endif]&gt;![if&gt; Les soins dentaires de base ou effectués en urgence sont pris en charge sans devis, à concurrence de CHF 500.- (CHF 750.- depuis le 1 er janvier 2024) par année civile et par personne, sur présentation des factures. Dans les autres cas, un devis préalable au traitement doit être soumis au dentiste-conseil de l’hospice pour accord avant toute prise en charge (art. 9 al. 4 RIASI). Selon l’art. 9 al. 4bis RIASI entré en vigueur le 1 er janvier 2024, les soins dentaires sont pris en charge par l'hospice dans la mesure où il s’agit d’un traitement simple, économique et adéquat. Ils sont pris en charge sur la base du catalogue de prestations reconnu par les « assurances AA/AM/AI » et à une valeur du point fixée à CHF 1.-.</w:t>
      </w:r>
    </w:p>
    <w:p>
      <w:r>
        <w:rPr>
          <w:b/>
        </w:rPr>
        <w:t>E. 3.4</w:t>
      </w:r>
    </w:p>
    <w:p>
      <w:r>
        <w:t>En l’espèce, le recourant ne conteste pas que le refus de prestations financières décidé par l’hospice le 3 août 2023 est devenu définitif et exécutoire à la suite de la décision du directeur de l’hospice du 6 octobre 2023 rejetant sa réclamation. ![endif]&gt;![if&gt; Le courrier déposé le 30 octobre 2023 adressé au TAPI intitulé « plainte/recours contre le centre d’action sociale de E______ » ne fait aucune mention des deux décisions précitées. L’argumentation se concentre sur l’absence de décision de l’hospice sur la problématique dentaire de l’intéressé. Les conclusions portent exclusivement sur un déni de justice. Même à avoir une interprétation large de l’acte de recours, le justiciable invoquant son absence de moyens financiers pour pouvoir bénéficier de l’aide d’un juriste, il n’est pas fait mention de contestation des décisions de refus des prestations financières. Il n’est de même pas nié que l’aide financière allouée par l’autorité intimée l’ait été de façon extraordinaire et ponctuelle au vu de l’urgence de la situation du recourant en juillet 2023. Ce dernier ne démontre pas avoir fourni les nombreux documents demandés par l’autorité intimée. Le courrier du 27 octobre 2023 ne porte en conséquence pas sur la décision sur opposition du 6 octobre 2023. Le recourant ne remplissant dès lors pas la condition nécessaire des art. 25 al. 1 let. b LIASI et 9 al. 1 RIASI à savoir « être bénéficiaire de prestations d'aide financière », l’autorité intimée n’avait pas à prononcer de décision sur la prise en charge des frais dentaires. L’autorité intimée a d’ailleurs rappelé dans ses écritures que si, dans sa situation actuelle, l’intéressé estimait avoir droit à des prestations d’aide financière, il pouvait en solliciter une nouvelle évaluation au moyen d’une demande de prestation signée et dûment accompagnée des documents, tel qu’exigé par la loi. Le recours sera rejeté.</w:t>
      </w:r>
    </w:p>
    <w:p>
      <w:r>
        <w:rPr>
          <w:b/>
        </w:rPr>
        <w:t>E. 4</w:t>
      </w:r>
    </w:p>
    <w:p>
      <w:r>
        <w:t>Vu la nature du litige, aucun émolument ne sera perçu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