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A/4106/2007 vom 20. Dezember 2007</w:t>
      </w:r>
    </w:p>
    <w:p>
      <w:r>
        <w:t>GE Cour de justice, 2007-12-20, FR</w:t>
      </w:r>
    </w:p>
    <w:p>
      <w:r>
        <w:rPr>
          <w:b/>
        </w:rPr>
        <w:t xml:space="preserve">Quelle: </w:t>
      </w:r>
      <w:r>
        <w:t>https://mcp.opencaselaw.ch/entscheid/ge_gerichte_A_4106_2007</w:t>
      </w:r>
    </w:p>
    <w:p>
      <w:r>
        <w:t>FR: GE_GERICHTE A/4106/2007 du 20 décembre 2007</w:t>
      </w:r>
    </w:p>
    <w:p>
      <w:r>
        <w:t>IT: GE_GERICHTE A/4106/2007 del 20 dicembre 2007</w:t>
      </w:r>
    </w:p>
    <w:p>
      <w:pPr>
        <w:pStyle w:val="Heading2"/>
      </w:pPr>
      <w:r>
        <w:t>Regeste</w:t>
      </w:r>
    </w:p>
    <w:p>
      <w:r>
        <w:t>Séquestre. Exécution du séquestre. | Délimitation des compétences du juge du séquestre et de l'autorité de surveillance. En l'espèce le nom du tiers qui détient des valeurs du débiteur est indiqué sur l'ordonnance de séquestre et il incombe à l'Office des poursuites de l'exécuter. | LP.272.1.3; LP.276</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En l'espèce, l'objet de la plainte est la décision de l'Office du 26 octobre 2007 refusant de donner suite à l'ordonnance de séquestre en tant qu'elle concerne les actifs appartenant à I______ Ltd. En sa qualité de créancier, le plaignant est habilité à agir par cette voie et sa plainte a été déposée en temps utile et dans les formes prescrites (art. 13 al. 1 et 2 LaLP ; art. 65 al. 1 et 2 LPA applicable par renvoi de l’art. 13 al. 5 LaLP). Elle est donc recevable. 2.a. Selon l'art. 276 LP, il est dressé procès-verbal du séquestre au pied de l'ordonnance de séquestre. Le procès-verbal contient la désignation des objets et de leur valeur. Il est transmis immédiatement à l'office des poursuites (al. 1). Celui-ci en notifie immédiatement une copie au créancier et au débiteur et informe les tiers dont les droits sont touchés par le séquestre (al. 2). La procédure d'opposition à l'ordonnance de séquestre (art. 278 LP) permet le contrôle de cette dernière par le juge quant aux conditions de fond du séquestre, y compris la désignation "des biens appartenant au débiteur" (art. 272 al. 1 ch. 3 LP) qui fait partie de l'ordonnance en vertu de l'art. 274 al. 2 ch. 4 LP. Les griefs qui concernent la propriété ou la titularité des biens à séquestrer doivent donc être invoqués dans la procédure d'opposition, celui d'abus de droit également. Les compétences des autorités de poursuites sont ainsi circonscrites aux mesures proprement dites d'exécution du séquestre, soit notamment, en vertu du renvoi de l'art. 275 LP, à celles concernant la saisissabilité des biens (art. 92 ss LP), l'ordre de la saisie (art. 95 ss LP), la sauvegarde des biens saisis (art. 98 ss LP) et la procédure de revendication (art. 106 ss LP). L'Office, qui ne peut donner suite à un ordre lacunaire ou imprécis, ni exécuter un séquestre entaché de nullité, conserve, par ailleurs, le droit de contrôler la régularité formelle de l'ordonnance de séquestre (Pierre-Robert Gilliéron , Le séquestre dans la LP révisée, in BlSchK 1995 p. 121 ss ; Michel Oschner , Exécution du séquestre, in JdT 2006 II 77 ; ATF 129 III 203 ). 2.b. La jurisprudence déduit de l'art. 272 al. 1 ch. 3 LP qu'il soit pour le moins fait mention du nom des tiers qui détiennent formellement des valeurs, en particulier des créances du débiteur, pour pouvoir procéder au séquestre. Ainsi, une banque -le devoir de renseigner dans la procédure de saisie valant par analogie pour l'exécution du séquestre (art. 275 LP)- doit donner des renseignements sur les objets et les biens à séquestrer mentionnés dans l'ordonnance de séquestre, y compris sur les objets ou les biens dont un tiers, et non le débiteur, paraît être nominalement l'ayant droit. En revanche, les autorités de poursuites ne doivent pas faire ou exiger des recherches à propos de valeurs qui ne sont pas mentionnées dans l'ordonnance de séquestre (Pierre-Robert Gilliéron , op. cit. ad art. 275 n° 50 ss ; ATF 130 III 579 , JdT 2005 II 100 ; ATF 126 III 95 , consid. 4a, JdT 2000 II 35). 2.c. Dans le cas particulier, le juge, à la requête du plaignant, a ordonné le séquestre des avoirs au nom du débiteur et d'I______ Ltd, en mains de la banque A______ à Genève. L'exigence selon laquelle l'ordonnance de séquestre doit indiquer au moins le nom des personnes qui détiennent formellement des valeurs du débiteur, en particulier ses créances, est donc remplie et l'ordonnance de séquestre du 25 octobre 2007 est en conséquence exécutable dans son intégralité.</w:t>
      </w:r>
    </w:p>
    <w:p>
      <w:r>
        <w:rPr>
          <w:b/>
        </w:rPr>
        <w:t>E. 3</w:t>
      </w:r>
    </w:p>
    <w:p>
      <w:r>
        <w:t>Déboute les parties de toutes autres conclusions. Siégeant : Mme Ariane WEYENETH, présidente ; Mme Florence CASTELLA et M. Denis MATHEY, juges assesseur(e)s.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