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A/4098/2023 vom 19. März 2024</w:t>
      </w:r>
    </w:p>
    <w:p>
      <w:r>
        <w:t>GE Cour de justice, 2024-03-19, FR</w:t>
      </w:r>
    </w:p>
    <w:p>
      <w:r>
        <w:rPr>
          <w:b/>
        </w:rPr>
        <w:t xml:space="preserve">Quelle: </w:t>
      </w:r>
      <w:r>
        <w:t>https://mcp.opencaselaw.ch/entscheid/ge_gerichte_A_4098_2023</w:t>
      </w:r>
    </w:p>
    <w:p>
      <w:r>
        <w:t>FR: GE_GERICHTE A/4098/2023 du 19 mars 2024</w:t>
      </w:r>
    </w:p>
    <w:p>
      <w:r>
        <w:t>IT: GE_GERICHTE A/4098/2023 del 19 marzo 2024</w:t>
      </w:r>
    </w:p>
    <w:p>
      <w:pPr>
        <w:pStyle w:val="Heading2"/>
      </w:pPr>
      <w:r>
        <w:t>Erwägungen</w:t>
      </w:r>
    </w:p>
    <w:p>
      <w:r>
        <w:rPr>
          <w:b/>
        </w:rPr>
        <w:t>E. 1</w:t>
      </w:r>
    </w:p>
    <w:p>
      <w:r>
        <w:t>La question de la recevabilité du recours se pose en premier lieu. L’intimé considère que le recours n’est « plus possible », le délai de recours contre les décisions des 31 octobre 2022 et 16 janvier 2023 étant échu.</w:t>
      </w:r>
    </w:p>
    <w:p>
      <w:r>
        <w:rPr>
          <w:b/>
        </w:rPr>
        <w:t>E. 1.1</w:t>
      </w:r>
    </w:p>
    <w:p>
      <w:r>
        <w:t>La chambre administrative est l’autorité supérieure ordinaire de recours en matière administrative (art. 132 al. 1 LOJ).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1.3</w:t>
      </w:r>
    </w:p>
    <w:p>
      <w:r>
        <w:t>Selon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 ATA/1033/2023 du 19 septembre 2023 consid. 5.1 et les arrêts cités). Une décision de base ne peut en principe pas être remise en cause, à l’occasion d’une nouvelle décision qui exécute l’acte de base (Thierry TANQUEREL, Manuel de droit administratif, 2 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ATA/1438/2017 du 31 octobre 2017 consid. 5b).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1.4</w:t>
      </w:r>
    </w:p>
    <w:p>
      <w:r>
        <w:t>En l’occurrence, il ressort du recours que les intéressés contestent la « facture d’octobre 2023 » ainsi que les « factures rétroactives 2023 ». Certes, la facture du 31 octobre 2023, en tant qu’elle astreint les intéressés à payer une somme d’argent déterminée correspondant à des frais de placement, soit des contributions de droit public, constitue une décision sujette à recours. L’intégralité des moyens développés par les recourants pour la contester porte toutefois sur le calcul du tarif de participation. Or, celui-ci fait l’objet de la décision du 16 janvier 2023, qui, faute d’avoir été contestée en temps utile, est désormais entrée en force. Ainsi, le principe et le montant de leur participation aux frais de placement et d’entretien de leur fille ont acquis force de chose décidée. Les recourants ne font en particulier pas valoir que la facture du 31 octobre 2023 ne serait pas conforme à la décision du 16 janvier 2023, et tel n’apparaît pas être le cas en l’espèce. Elle applique en effet le rabais de 40% prévu par la décision précitée. C’est le lieu de préciser, dans ce contexte, que le placement est ordonné pour une durée pleine et nécessite la mise à disposition permanente d’une chambre ou d’un lit dans un foyer pour cette durée. Les frais du placement restent ainsi dus pour toute la durée de celui-ci ( ATA/1000/2022 du 4 octobre 2022 consid. 2c ; ATA/873/2019 du 7 mai 2019 consid. 2f), et ce nonobstant les éventuels retours du mineur dans le foyer familial durant les week-ends ou les vacances. Partant, les recourants ne sauraient à présent, par un recours dirigé incidemment contre la facture du 31 octobre 2023, formuler des critiques qu’ils avaient tout loisir d’articuler, en temps utile, contre la décision de l’intimé du 16 janvier 2023. Il en va de même des « factures rétroactives 2023 » dont il est également fait mention dans le recours. Ces factures concernent du reste des décisions entrées en force, ce qui n’est pas contesté. Le recours contre ces décisions ne respecte ainsi ni l’interdiction d’attaquer les mesures d’exécution (art. 59 let. b LPA), ni les exigences liées au délai de recours (art. 62 al. 1 let. a LPA). L’acte du 5 décembre 2023 est partant irrecevable. Cela étant, dans la mesure où les recourants font valoir que les circonstances se seraient modifiées dans une mesure notable depuis la décision du 16 janvier 2023, leur recours peut être considéré comme une demande de reconsidération. Il est toutefois également irrecevable dans cette hypothèse, une telle demande devant être adressée à l'autorité qui a pris la décision (art. 48 al. 1 LPA). Il sera ainsi transmis au SPMi, pour raison de compétence, en application de l'art. 64 al. 2 LPA.</w:t>
      </w:r>
    </w:p>
    <w:p>
      <w:r>
        <w:rPr>
          <w:b/>
        </w:rPr>
        <w:t>E. 2</w:t>
      </w:r>
    </w:p>
    <w:p>
      <w:r>
        <w:t>Vu la nature du litige aucun émolument ne sera perçu (art. 87 LPA ; art. 11 du règlement sur les frais, émoluments et indemnités en procédure administrative du 30 juillet 1986 - RFPA - E 5 10.03). Compte tenu de son issue,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