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A/4095/2015 vom 3. Dezember 2015</w:t>
      </w:r>
    </w:p>
    <w:p>
      <w:r>
        <w:t>GE Cour de justice, 2015-12-03, FR</w:t>
      </w:r>
    </w:p>
    <w:p>
      <w:r>
        <w:rPr>
          <w:b/>
        </w:rPr>
        <w:t xml:space="preserve">Quelle: </w:t>
      </w:r>
      <w:r>
        <w:t>https://mcp.opencaselaw.ch/entscheid/ge_gerichte_A_4095_2015</w:t>
      </w:r>
    </w:p>
    <w:p>
      <w:r>
        <w:t>FR: GE_GERICHTE A/4095/2015 du 3 décembre 2015</w:t>
      </w:r>
    </w:p>
    <w:p>
      <w:r>
        <w:t>IT: GE_GERICHTE A/4095/2015 del 3 dicembre 2015</w:t>
      </w:r>
    </w:p>
    <w:p>
      <w:pPr>
        <w:pStyle w:val="Heading2"/>
      </w:pPr>
      <w:r>
        <w:t>Erwägungen</w:t>
      </w:r>
    </w:p>
    <w:p>
      <w:r>
        <w:rPr>
          <w:b/>
        </w:rPr>
        <w:t>E. 2</w:t>
      </w:r>
    </w:p>
    <w:p>
      <w:r>
        <w:t>Le 9 novembre 2015, la commission, réunie en séance plénière à la demande de M. A______, a repris comme siens les considérants de la décision du bureau, estimant que ses motifs étaient justifiés et a fait injonction à l'avocat de cesser de représenter la partie plaignante dans la procédure pénale P/1______. Cette décision datée du 12 novembre 2015 était exécutoire nonobstant recours.![endif]&gt;![if&gt;</w:t>
      </w:r>
    </w:p>
    <w:p>
      <w:r>
        <w:rPr>
          <w:b/>
        </w:rPr>
        <w:t>E. 3</w:t>
      </w:r>
    </w:p>
    <w:p>
      <w:r>
        <w:t>Par acte du 25 novembre 2015, M. A______ a recouru auprès de la chambre administrative de la cour de justice (ci-après : la chambre administrative), concluant préjudiciellement à la restitution de l'effet suspensif au recours et, principalement, à l'annulation de la décision susmentionnée.![endif]&gt;![if&gt; Il n'y avait aucun conflit d'intérêts. Son associé n'avait aucun mandat avec le prévenu. La société n'était pas partie à la procédure pénale et n'avait pas mandaté son associé ni lui-même pour la représenter dans une quelconque procédure qui serait connexe ou participerait du complexe de faits pénal. Ces faits étaient tous antérieurs à l'arrivée du prévenu dans la société. L'administrateur de la société avait été entendu en lien avec des faits antérieurs à l'engagement du prévenu et indépendants de son activité au sein de celle-ci. Quant aux actes d'enquêtes demandés envers la société mais refusés, ils visaient uniquement la situation personnelle du prévenu. Que son associé soit président du conseil d'administration de la société était donc sans aucune incidence. Cela ne créait ni double représentation ni conflit prohibé car il ne s'agissait pas des mêmes personnes. La société n'était pas susceptible d'être affectée juridiquement par un jugement de condamnation du prévenu. Elle n'avait aucun intérêt propre et concret dans la procédure pénale et n'était pas exposée à des prétentions ou actions récursoires en découlant. Son associé pourrait lui-même agir en qualité d'avocat contre le prévenu si les intérêts de la société le commandaient. Le fait que ledit associé puisse, par hypothèse, avoir accès à des éléments de la procédure pénale, n'était pas de nature à porter atteinte aux intérêts de la partie plaignante ou de la société. Le conflit d'intérêts ne serait concret que si la partie plaignante et la société avaient des intérêts contraires dont la protection exigerait que les intérêts de l'un soient concrètement sacrifiés aux dépens de ceux de l'autre, ce qui n'était pas le cas. Le risque de dommage d'image était hypothétique et abstrait. Par ailleurs, dans une décision du 9 novembre 2015, statuant sur dénonciation de sa part, le bureau avait considéré qu'il n'y avait, en l'état pas de conflit d'intérêts pour les deux conseils du prévenu alors que leur associé était administrateur depuis le 30 mars 2015 de la société C______ SA (ci-après : la banque) dont le prévenu avait été employé et organe, comme il l'avait été d'une autre entité du même groupe, toutes deux apparaissant dans le complexe de faits pénal, la première ayant investi dans le fonds de placement de la seconde. Le bureau avait considéré que les faits retenus à l'encontre du prévenu se rapportaient à son activité en qualité de directeur général de la seconde entité, laquelle devait être distinguée de la banque. Ni cette dernière ni une autre entité du groupe n'étaient partie à la procédure pénale. Le bureau avait retenu qu'il n'y avait ainsi pas d'élément concret permettant d'admettre que les conseils du prévenu détiendraient des informations susceptibles d'être utilisées en violation de leur secret professionnel ou qu'ils ne bénéficieraient pas de l'indépendance nécessaire pour défendre leur client. Le bureau avait indiqué que la situation pourrait être différente dans l'hypothèse d'une condamnation du prévenu pour des faits relevant de son activité au sein de la seconde entité si des actions étaient alors intentées à l'encontre de la banque. Mais il avait retenu qu'il s'agissait d'une pure hypothèse qu'il ne lui appartenait pas d'anticiper. Enfin, le bureau avait relevé que l'associé des conseils ne siégeait que depuis mars 2015 au conseil d'administration de la banque et qu'auparavant d'autres associés de la même étude y siégeaient déjà sans que cela n'ait jamais été évoqué au cours de la procédure pénale. La décision querellée était erronée et arbitraire. L'effet suspensif devait être restitué au recours, les seuls intérêts en jeu étant ceux de la partie plaignante et de son avocat interdit d'occuper et les chances de succès du recours étaient élevées.</w:t>
      </w:r>
    </w:p>
    <w:p>
      <w:r>
        <w:rPr>
          <w:b/>
        </w:rPr>
        <w:t>E. 4</w:t>
      </w:r>
    </w:p>
    <w:p>
      <w:r>
        <w:t>Le 27 novembre 2015, la commission a transmis son dossier en s'en rapportant à justice sur la restitution de l'effet suspensif au recours et en s'en référant à la décision attaquée quant au fond.![endif]&gt;![if&gt;</w:t>
      </w:r>
    </w:p>
    <w:p>
      <w:r>
        <w:rPr>
          <w:b/>
        </w:rPr>
        <w:t>E. 5</w:t>
      </w:r>
    </w:p>
    <w:p>
      <w:r>
        <w:t>Au vu de ce qui précède, le recours sera rejeté. ![endif]&gt;![if&gt; Vu l'issue du litige, un émolument de CHF 1'300.- sera mis à la charge du recourant (art. 87 al. 1 LPA). Aucun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