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A/4091/2008 vom 12. Februar 2009</w:t>
      </w:r>
    </w:p>
    <w:p>
      <w:r>
        <w:t>GE Cour de justice, 2009-02-12, FR</w:t>
      </w:r>
    </w:p>
    <w:p>
      <w:r>
        <w:rPr>
          <w:b/>
        </w:rPr>
        <w:t xml:space="preserve">Quelle: </w:t>
      </w:r>
      <w:r>
        <w:t>https://mcp.opencaselaw.ch/entscheid/ge_gerichte_A_4091_2008</w:t>
      </w:r>
    </w:p>
    <w:p>
      <w:r>
        <w:t>FR: GE_GERICHTE A/4091/2008 du 12 février 2009</w:t>
      </w:r>
    </w:p>
    <w:p>
      <w:r>
        <w:t>IT: GE_GERICHTE A/4091/2008 del 12 febbraio 2009</w:t>
      </w:r>
    </w:p>
    <w:p>
      <w:pPr>
        <w:pStyle w:val="Heading2"/>
      </w:pPr>
      <w:r>
        <w:t>Regeste</w:t>
      </w:r>
    </w:p>
    <w:p>
      <w:r>
        <w:t>Notification d'actes à une personne morale. | La notification d'un commandement de payer à une Sàrl, ayant maintenu sa domiciliation en les locaux de son ancien administrateur est valable si elle a été opérée en mains de ce dernier. En effet, dans ce cas de figure, l'ancien administrateur doit être considéré sur un même pied que si l'acte avait été notifié à un employé ou à une personne faisant ménage commun. Plainte rejetée. | LP.65; LP.74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rejette.</w:t>
      </w:r>
    </w:p>
    <w:p>
      <w:r>
        <w:rPr>
          <w:b/>
        </w:rPr>
        <w:t>E. 2</w:t>
      </w:r>
    </w:p>
    <w:p>
      <w:r>
        <w:t>Déboute les parties de toutes autres conclusions. Siégeant : M. Philippe GUNTZ, président ; MM. Philipp GANZONI et Philippe VEILLARD, juges assesseurs. Au nom de la Commission de surveillance : Véronique PISCETTA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