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A/408/2007 vom 3. Mai 2007</w:t>
      </w:r>
    </w:p>
    <w:p>
      <w:r>
        <w:t>GE Cour de justice, 2007-05-03, FR</w:t>
      </w:r>
    </w:p>
    <w:p>
      <w:r>
        <w:rPr>
          <w:b/>
        </w:rPr>
        <w:t xml:space="preserve">Quelle: </w:t>
      </w:r>
      <w:r>
        <w:t>https://mcp.opencaselaw.ch/entscheid/ge_gerichte_A_408_2007</w:t>
      </w:r>
    </w:p>
    <w:p>
      <w:r>
        <w:t>FR: GE_GERICHTE A/408/2007 du 3 mai 2007</w:t>
      </w:r>
    </w:p>
    <w:p>
      <w:r>
        <w:t>IT: GE_GERICHTE A/408/2007 del 3 maggio 2007</w:t>
      </w:r>
    </w:p>
    <w:p>
      <w:pPr>
        <w:pStyle w:val="Heading2"/>
      </w:pPr>
      <w:r>
        <w:t>Regeste</w:t>
      </w:r>
    </w:p>
    <w:p>
      <w:r>
        <w:t>Abus de droit. | Abus de droit admis dans le cas d'espèce. Poursuite déclarée nulle. Recours au Tribunal fédéral jugé irrecevable( | CC.2.2</w:t>
      </w:r>
    </w:p>
    <w:p>
      <w:pPr>
        <w:pStyle w:val="Heading2"/>
      </w:pPr>
      <w:r>
        <w:t>Erwägungen</w:t>
      </w:r>
    </w:p>
    <w:p>
      <w:r>
        <w:rPr>
          <w:b/>
        </w:rPr>
        <w:t>E. 1</w:t>
      </w:r>
    </w:p>
    <w:p>
      <w:r>
        <w:t>La Commission de céans est compétente pour statuer sur les plaintes en matière d’exécution forcée (art. 17 LP ; art. 10 al. 1 LaLP ; art. 56R al. 3 LOJ). Cette voie de droit est subsidiaire à la voie judiciaire (art. 17 al. 1 in initio LP). Si l’examen des questions de droit matériel est du ressort du juge ordinaire (ATF 113 III 2, traduit in JdT 1989 II 120),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(Flavio Cometta , in SchKG I, ad art. 17 n° 27 ; Pierre-Robert Gilliéron , Commentaire, ad art. 17 n° 88 ; Franco Lorandi , Betreibungsrechtliche Beschwerde und Nichtigkeit, Kommentar zu den Artikeln 13 – 30 SchKG, 2000, ad art. 17 n° 274). Un tel grief peut être soulevé notamment à l’encontre de la notification d’un commandement de payer, qui traduit l’acceptation de l’Office de donner suite à la réquisition de poursuite et constitue aussi à ce titre une mesure sujette à plainte (art. 17 al. 1 LP). Le délai pour porter plainte est de dix jours à compter de celui où le plaignant a eu connaissance de la mesure attaquée (art. 17 al. 2 LP). Comme l’autorité de surveillance doit constater d’office, indépendamment même de toute plainte (art. 22 LP), la nullité de mesures contraires à des dispositions édictées dans l’intérêt public ou dans l’intérêt de personnes non parties à la procédure, la Commission de céans entre en matière sur les griefs de nullité soulevés même tardivement, si la sanction des vices dénoncés, supposés fondés, réside bien dans la nullité des mesures qui en sont prétendument affectées. 1.b. En l’espèce, la plainte a été déposée dans les formes prescrites auprès de la Commission de surveillance contre un commandement de payer, soit un acte sujet à plainte, par le poursuivi qui a la qualité pour agir par cette voie (art. 17 al. 1 .et 2 LP ; art. 13 LaLP). Elle tend à l'annulation de la poursuite considérée au motif qu'elle procède d'un abus de droit. Elle sera donc déclarée recevable.</w:t>
      </w:r>
    </w:p>
    <w:p>
      <w:r>
        <w:rPr>
          <w:b/>
        </w:rPr>
        <w:t>E. 2</w:t>
      </w:r>
    </w:p>
    <w:p>
      <w:r>
        <w:t>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 ATF 115 III 18 consid. 3b, SJ 1989 p. 400, JdT 1991 II 76 ; ATF 113 III 2 , JdT 1989 II 121 ATF 112 III 47 consid. 1, JdT 1988 II 145 ; SJ 1987 p. 156). Commet ainsi un abus de droit le requérant qui, de toute évidence, entend poursuivre une personne pour des prétentions inexistantes et profère des allégations injurieuses sur les réquisitions de poursuite et dans les lettres d’envoi de ces réquisitions (BlSchK 1991 p. 111 ss, cité par Pierre-Robert Gilliéron , Commentaire, ad Remarques introductives aux art. 38-45 n° 40 in fine ). Constitue également un abus manifeste de droit, à sanctionner par la nullité de la poursuite, le fait d’intenter une poursuite dans le seul but de porter atteinte à la réputation et au crédit de la personne poursuivie (SJ 1987 p. 156 ; RFJ 2001 p. 331 ; Henri Deschenaux / Paul-Henri Steinauer , Personnes physiques et tutelle, Berne 2001, n° 558b), soit dans un but n’ayant pas le moindre rapport avec la procédure elle-même, en particulier pour tourmenter délibérément le poursuivi. La notification de commandements de payer successifs non pour encaisser des créances mais pour irriter le poursuivi et porter atteinte à la disponibilité de ses biens en essayant de recouvrer des montants importants, sans demander la mainlevée de l'opposition ou saisir le juge ordinaire, est aussi susceptible de constituer un abus de droit (ATF 115 III 18, traduit in SJ 1989 p. 400 et in JdT 1991 II 76 ; cf. Pierre-Robert Gilliéron , Commentaire, ad art. 8a n° 36, ad art. 17 n° 23, ad Remarques introductives aux art. 38-45 n° 35 ss ; Karl Wüthrich / Peter Schoch , in SchKG I, ad art. 69 n° 15 s). De telles hypothèses ne peuvent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ni la Commission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A cela s’ajoute que la notification d’un commandement de payer représente un moyen légal d’interrompre la prescription (art. 135 ch. 2 CO). Une réquisition de poursuite peut donc poursuivre uniquement cette fin, qui est en règle générale légitime à elle seule, y compris lorsque le créancier ne dispose d’aucun titre de mainlevée ( DCSO/180/03 consid. 3. c in fine du 22 mai 2003 ; DCSO/524/04 consid. 2. a in fine du 28 octobre 2004). Il sied, par ailleurs, de rappeler qu'en droit suisse des poursuites, toute personne peut engager immédiatement une poursuite même si elle n'est pas (encore) créancière (ATF 102 III 1 consid. 1b) et faire reconnaître son droit par la voie de la procédure ordinaire ou administrative après que le poursuivi a fait opposition (cf. arrêts du Tribunal non publiés 7B. 36/2006 du 16 mai 2006, consid. 2.2 et 7B.219/2006 -220/2006 du 16 avril 2007). 3.a. En l'espèce, la poursuivante invoque dans son commandement de payer la cause suivante : " Complicité de vol. Pour avoir laissé voler mon coffre à l'UBS. Sans appeler la police, ni avoir activé l'assurance-vol ". Dans sa décision de classement de la plainte déposée par la poursuivante à l'encontre du plaignant -et dans laquelle il est, notamment, reproché au précité de ne pas avoir appelé la police-, rendue le 25 août 2003 (P/5933/03), le Procureur général a retenu ce qui suit : " En substance, vous reprochez à ce dernier, de manière difficilement compréhensible, d'être impliqué d'une manière ou d'une autre dans la disparition de bijoux dont vous auriez été propriétaire ", et a considéré que les faits dénoncés " pour autant qu'on puisse les comprendre ", ne permettaient pas " d'imputer une infraction pénale à la personne " mise en cause. Suite à cette décision de classement contre laquelle la poursuivie n'a pas recouru, le Procureur général a également classé la plainte P/6414/03, tenant compte également du fait que la poursuivie avait été la cliente du plaignant. La Commission de céans retient en conséquence qu'en diligentant contre le plaignant une poursuite dont la cause invoquée est " Complicité de vol " alors que la plainte pénale a été classée il y a près de quatre ans pour les motifs rappelés ci-dessus, le seul but de la poursuivante est de porter atteinte à la réputation et au crédit du plaignant qui exerce la profession d'avocat et que cette manœuvre est illicite. 3.b. La Commission de céans relèvera encore, s'agissant du grief invoqué par la poursuivie dans ses observations à la plainte, à savoir que le plaignant avait auditionné deux des témoins principaux avant leur convocation par les inspecteurs de la sûreté, ce qui, selon elle, " a entraîné directement le préjudice ", que le Tribunal de première instance, statuant sur l'action en libération de dette intentée par la précitée qui alléguait que le poursuivi aurait exécuté son mandat de manière "lacunaire" ou "contraire aux usages", s'est, dans son jugement du 9 avril 2003 ( JTPI/4746/2003 ), prononcé à ce sujet. Dans ses considérants "EN DROIT", let. A. a) § 11, dite juridiction relève : " …il résulte clairement que ce n'est pas pour ce motif (l'audition d'un futur témoin) que les prétentions de Mme H______ en relation avec des bijoux confiés à un tiers ont été écartées par la Chambre d'accusation, mais bien principalement parce qu'aucun inventaire des objets confiés n'avait été établi, ni produit, de sorte que le bien-fondé de ces prétentions ne pouvait être admis. Les déclarations de la femme de chambre de la demanderesse furent écartées d'abord parce qu'elles ne pouvaient porter que sur une partie des bijoux que la demanderesse alléguait avoir confiés à un tiers, et ensuite parce qu'en tout état de cause, elles émanaient d'une personne économiquement dépendante de la demanderesse. Il s'ensuit que le fait que M. P______ ait recueilli les déclarations de ce futur témoin n'a joué qu'un rôle insignifiant dans le rejet des prétentions de la demanderesse ; il n'y a donc pas de rapport de causalité adéquate entre cette violation des us et coutumes de l'Ordre des Avocats et le fait que Mme H______ n'a pu obtenir satisfaction devant la Chambre d'accusation ".</w:t>
      </w:r>
    </w:p>
    <w:p>
      <w:r>
        <w:rPr>
          <w:b/>
        </w:rPr>
        <w:t>E. 4</w:t>
      </w:r>
    </w:p>
    <w:p>
      <w:r>
        <w:t>Force est donc de retenir qu'en recourant à l'institution du droit de l'exécution forcée pour obtenir la réparation d'un prétendu dommage, alors que le Procureur général, dans sa décision de classement, a retenu qu'aucune infraction pénale ne pouvait être imputée au plaignant, que la Chambre d'accusation a écarté ses prétentions en relation avec des bijoux confiés à un tiers et que le Tribunal de première instance a rejeté ses conclusions en libération de dette basées sur une mauvaise exécution du mandat qu'elle avait confié au précité, la plaignante commet un abus de droit qui doit être sanctionné par la nullité de la poursuite considérée.</w:t>
      </w:r>
    </w:p>
    <w:p>
      <w:r>
        <w:rPr>
          <w:b/>
        </w:rPr>
        <w:t>E. 5</w:t>
      </w:r>
    </w:p>
    <w:p>
      <w:r>
        <w:t>La plainte sera en conséquence admise et la poursuite n° 07 xxxx92 M déclarée nulle. Conformément à l'art. 8a al. 3 let. a LP dite poursuite ne devra pas être portée à la connaissance de tiers. * * * * * PAR CES MOTIFS, LA COMMISSION DE SURVEILLANCE SIÉGEANT EN SECTION : A la forme : Déclare recevable la plainte formée le 5 février 2007 par M. P______ contre le commandement de payer, poursuite n° 07 xxxx92 M. A u fond : 1. L'admet. 2. Déclare nulle la poursuite n° 07 xxxx92 M. 3. Déboute les parties de toutes autres conclusions. Siégeant : Mme Ariane Weyeneth, présidente ; M. Didier BROSSET et Mme Florence CASTELLA, juges assesseur(e)s. Au nom de la Commission de surveillance : Marisa BATISTA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