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A/4087/2015 vom 4. Februar 2016</w:t>
      </w:r>
    </w:p>
    <w:p>
      <w:r>
        <w:t>GE Cour de justice, 2016-02-04, FR</w:t>
      </w:r>
    </w:p>
    <w:p>
      <w:r>
        <w:rPr>
          <w:b/>
        </w:rPr>
        <w:t xml:space="preserve">Quelle: </w:t>
      </w:r>
      <w:r>
        <w:t>https://mcp.opencaselaw.ch/entscheid/ge_gerichte_A_4087_2015</w:t>
      </w:r>
    </w:p>
    <w:p>
      <w:r>
        <w:t>FR: GE_GERICHTE A/4087/2015 du 4 février 2016</w:t>
      </w:r>
    </w:p>
    <w:p>
      <w:r>
        <w:t>IT: GE_GERICHTE A/4087/2015 del 4 febbraio 2016</w:t>
      </w:r>
    </w:p>
    <w:p>
      <w:pPr>
        <w:pStyle w:val="Heading2"/>
      </w:pPr>
      <w:r>
        <w:t>Erwägungen</w:t>
      </w:r>
    </w:p>
    <w:p>
      <w:r>
        <w:rPr>
          <w:b/>
        </w:rPr>
        <w:t>E. 3</w:t>
      </w:r>
    </w:p>
    <w:p>
      <w:r>
        <w:t>ème Chambre En la cause Monsieur A______, domicilié à GENÈVE, représenté par le Syndicat UNIA recourant contre SERVICE DES PRESTATIONS COMPLÉMENTAIRES, sis route de Chêne 54, GENÈVE intimé EN FAIT 1.        Monsieur A______ (ci-après : le bénéficiaire) a déposé en date du 7 août 1992 une demande de prestations complémentaires ne faisant mention d’aucune propriété immobilière.![endif]&gt;![if&gt; 2.        Suite à une demande du service des prestations complémentaires (ci-après : SPC), le bénéficiaire a admis être propriétaire d’une maison en Bosnie, dont il a fourni une estimation en date du 25 octobre 2014, faisant mention d’une valeur locative de KM 300.- et d’une valeur vénale de KM/m2 500.-, soit une valeur totale de KM 86'000.-. ![endif]&gt;![if&gt; 3.        Par décision du 3 décembre 2014, le service des prestations complémentaires (ci-après : SPC) a donc repris ses calculs et réclamé à son bénéficiaire la restitution d’un montant de CHF 34'848.- correspondant aux prestations versées à tort pour la période du 1 er décembre 2007 au 30 novembre 2014.![endif]&gt;![if&gt; 4.        Le 7 janvier 2015, le bénéficiaire s’est opposé à cette décision en contestant l’étendue dans le temps, ainsi que le montant pris en compte par le SPC à titre de produit immobilier.![endif]&gt;![if&gt; 5.        Par décision sur opposition du 13 octobre 2015 - annulée et remplacée en date du 21 octobre 2015 -, le SPC a confirmé sa demande en restitution et son étendue.![endif]&gt;![if&gt; Le SPC a expliqué que si la restitution prenait effet au 1 er décembre 2007, c’est parce que son bénéficiaire avait violé son obligation de renseigner en ne lui déclarant pas l’existence d’un bien immobilier, ni lors de sa demande de prestations, ni ultérieurement et ce, alors même que son obligation de renseignement lui avait été rappelée chaque année. Quant au montant pris en compte à titre de produit immobilier, le SPC a rappelé s’être basé sur un document reçu le 8 janvier 2015 faisant état d’une valeur locative de 300 KM (ou BAM), montant qu’il a converti en francs suisses. Pour le surplus, s’agissant des difficultés financières invoquées par l’intéressé, le SPC a rappelé que l’examen d’une demande de remise de l’obligation de restituer ne pourrait se faire qu’une fois la décision en restitution entrée en force. 6.        Par écriture du 23 novembre 2015, le bénéficiaire a interjeté recours contre cette décision en concluant à ce que les montants réclamés en restitution soient limités à la période du 3 décembre 2009 au 3 décembre 2014.![endif]&gt;![if&gt; Le recourant admet être propriétaire d’une maison de famille située en Bosnie Herzégovine. Il allègue qu’elle n’a jamais été louée et qu’elle l’accueille lui et sa famille durant les vacances. Il souligne que, construite en 1968, elle ne dispose que d’une toiture en bois et qu’elle est partiellement délabrée. Le recourant se défend de tout comportement pénalement répréhensible. Il fait en particulier valoir qu’il ne se trouvait pas dans une position de garant envers l’autorité. Il se défend également de s’être rendu coupable d’une violation de l’obligation de renseigner, faisant valoir à cet égard qu’il n’avait aucune intention d’induire le SPC en erreur : il n’avait tout simplement pas conscience de son devoir d’annoncer l’existence d’un bien qu’il considère comme appartenant à la famille, qu’il n’a pas l’intention de mettre en vente et sur lequel il ne perçoit aucun revenu locatif. 7.        Invité à se déterminer, l’intimé, dans sa réponse du 11 décembre 2015, a conclu au rejet du recours.![endif]&gt;![if&gt; L’intimé fait remarquer que ce n’est pas parce que le recourant n’a jamais loué son bien que celui-ci n’est pas relevant pour le calcul de la prestation complémentaire. Il rappelle à cet égard que si un bénéficiaire juge bon de renoncer à un revenu, celui-ci est considéré comme un bien dont il s’est dessaisi. Quant à l’état supposé de délabrement du bien immobilier, l’intimé fait valoir que les seules déclarations du recourant ne sauraient suffire. 8.        Par écriture du 12 janvier 2016, l’assuré a indiqué n’avoir rien à ajouter.![endif]&gt;![if&gt;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![endif]&gt;![if&gt; Il en va de même en matière de prestations complémentaires cantonales (cf. art. 1A al. 1 let. b LPCC). 4.        Se pose en premier lieu la question de savoir si c’est à juste titre que l’intimé a pris en compte le bien immobilier du recourant à titre de fortune et qu’il a également pris en compte le produit qu’il pourrait rapporter à l’intéressé.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 6.        Un droit de propriété a pour son titulaire une valeur économique, qui est prise en considération à titre de produit de la fortune, conformément à l'art. 11 al. 1 let. b LPC. S'il s'agit d'un immeuble d'habitation, le propriétaire peut le mettre en location ou y habiter lui-même. La valeur locative du logement occupé par le propriétaire ainsi que le revenu provenant de la sous-location sont estimés selon les critères de la législation sur l'impôt cantonal direct du canton de domicile, ou à défaut ceux de l'impôt fédéral direct (cf. art. 12 de l’ordonnance sur les prestations complémentaires à l'assurance-vieillesse, survivants et invalidité [OPC-AVS/AI ; RS 831.301]).![endif]&gt;![if&gt; 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2).![endif]&gt;![if&gt; 8.        En l'espèce, selon l'évaluation produite par le bénéficiaire lui-même, le bien immobilier, même s’il est relevé que sa toiture est en bois et qu’il est partiellement délabré, représente une valeur vénale de KM 86'000.- et une valeur locative de KM 300.-. ![endif]&gt;![if&gt; Il n'existe pas de motif de s'écarter de cette évaluation immobilière, puisqu’elle tient compte des allégués du recourant (toiture en bois, aspect partiellement délabré). Si le recourant renonce à mettre son bien en location, il convient de considérer le revenu auquel il renonce ainsi comme un bien dessaisi dont il convient de tenir compte. Eu égard à ces considérations, on ne saurait donc reprocher à l’intimé d’avoir pris en considération ces éléments dans ses calculs. 9.        Reste à examiner la question de la prescription soulevée par le recourant. ![endif]&gt;![if&gt;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10.    Le recourant conteste l’application du délai de prescription pénale en l’espèce. ![endif]&gt;![if&gt; 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c) Selon l'art. 97 al. 1 CP, l'action pénale se prescrit par 30 ans si l'infraction était passible d'une peine privative de liberté à vie, par 15 ans si elle était passible d'une peine privative de liberté de plus de trois ans, et par 7 ans si elle était passible d'une autre peine. Le délai de prescription de l'action pénale pour une infraction telle que celle décrite à l'art. 31 LPC est donc de 7 ans, celui d’une infraction à l'art. 146 al. 1 CP de 15 ans. d)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11.    En l’espèce, il ressort du dossier que ce n’est qu’en octobre 2014 que l’intimé a eu connaissance de l’existence du bien immobilier dont le recourant lui avait caché l’existence. Dès lors, l’intimé, en statuant le 3 décembre 2014, a agi en temps utile. ![endif]&gt;![if&gt; Il est manifeste que le recourant à violé son obligation de renseigner (art. 31 LPC) en n’annonçant pas, dans sa demande initiale, être le propriétaire d’un bien immobilier alors que la question d’un bien immobilier à l’étranger était expressément posée. Or,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En l’espèce, les conditions de l’art. 31 LPC - dans sa teneur depuis le 1er janvier 2008 - sont à l’évidence réalisées, le recourant ayant, par son silence qualifié, certes tacitement mais de façon mensongère, dissimulé une part importante de fortune. Il y a par conséquent lieu de retenir qu’il s’est à tout le moins rendu coupable d’une infraction à l’art. 31 LPC puisqu’il a bénéficié de prestations complémentaires établies sur la base d’un état des revenus et du patrimoine inexact. C’est dès lors à juste titre que l’intimé a appliqué un délai de prescription de 7 ans. Sur ce point, le recours est également rejeté. 12.    Quant aux protestations de bonne foi du recourant, elles ne lui sont d’aucun secours à ce stade de la procédure. Sa bonne foi et sa condition financière feront l’objet d’un examen ultérieur, s’agissant de la remise de l’obligation de restituer, qui fait l’objet d’une procédure distincte, une fois la décision en restitution entrée en force. ![endif]&gt;![if&gt; 13.    Eu égard aux considérations qui précèdent, le recours est rejeté.![endif]&gt;![if&gt;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