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A/407/2023 vom 25. April 2023</w:t>
      </w:r>
    </w:p>
    <w:p>
      <w:r>
        <w:t>GE Cour de justice, 2023-04-25, FR</w:t>
      </w:r>
    </w:p>
    <w:p>
      <w:r>
        <w:rPr>
          <w:b/>
        </w:rPr>
        <w:t xml:space="preserve">Quelle: </w:t>
      </w:r>
      <w:r>
        <w:t>https://mcp.opencaselaw.ch/entscheid/ge_gerichte_A_407_2023</w:t>
      </w:r>
    </w:p>
    <w:p>
      <w:r>
        <w:t>FR: GE_GERICHTE A/407/2023 du 25 avril 2023</w:t>
      </w:r>
    </w:p>
    <w:p>
      <w:r>
        <w:t>IT: GE_GERICHTE A/407/2023 del 25 aprile 2023</w:t>
      </w:r>
    </w:p>
    <w:p>
      <w:pPr>
        <w:pStyle w:val="Heading2"/>
      </w:pPr>
      <w:r>
        <w:t>Regeste</w:t>
      </w:r>
    </w:p>
    <w:p>
      <w:r>
        <w:t>DÉLÉGATION DE COMPÉTENCE;DÉLÉGATION LÉGISLATIVE;ÉMOLUMENT;AVOCAT;SECRET PROFESSIONNEL | Recours contre la décision de la commission du barreau mettant à charge de l'avocat le paiement des émoluments de décisions dans une procédure de levée du secret professionnel. La commission du barreau avait délié l'avocat du secret professionnel. Le Conseil d'État a outrepassé sa compétence d'exécution en incombant à l'avocat ou l'avocat-stagiaire le paiement des émoluments liés à l'activité juridictionnelle et administrative de la commission du barreau. Dans le cadre de la procédure de levée du secret professionnel, le principe général de procédure administrative qui veut que la partie qui succombe doit supporter les frais devait s'appliquer. Recours admis et dossier renvoyé à la commission du barreau pour nouvelle décision. | Cst.5.al1; Cst-GE.2; Cst-GE.109.al4; LPAv.49; LPAv.49A; LPAv.52; RPAv.9; LPA.87.al1</w:t>
      </w:r>
    </w:p>
    <w:p>
      <w:pPr>
        <w:pStyle w:val="Heading2"/>
      </w:pPr>
      <w:r>
        <w:t>Erwägungen</w:t>
      </w:r>
    </w:p>
    <w:p>
      <w:r>
        <w:rPr>
          <w:b/>
        </w:rPr>
        <w:t>E. 26</w:t>
      </w:r>
    </w:p>
    <w:p>
      <w:r>
        <w:t>avril 2002 (LPAv - E 6 10), cette dernière disposition renvoyant à la LPA, avaient été violés. L’art. 49A LPAv ne réglait pas, ne serait-ce que dans les grandes lignes, la question de savoir qui était redevable des frais et émoluments de procédure. L’art. 9 al. 3 RPAV n’était pas conforme au droit supérieur. Ainsi, ses anciens clients qui avaient succombé devant la commission devaient supporter les frais de procédure. b. Le 7 mars 2023, la commission a transmis ses dossiers et a persisté dans les termes de sa décision du 16 janvier 2023. ![endif]&gt;![if&gt; c. Bien qu’interpellés, les époux B______ ne se sont pas manifestés. ![endif]&gt;![if&gt; d. Le 16 mars 2023, M. A______ a renoncé à faire usage de son droit à la réplique. ![endif]&gt;![if&gt; e. Sur ce, les parties ont été informées que la cause était gardée à juger. ![endif]&gt;![if&gt; EN DROIT 1. Interjeté en temps utile devant la juridiction compétente, le recours est recevable (art. 132 de la loi sur l'organisation judiciaire du 26 septembre 2010 - LOJ - E 2 05 ; art. 62 al. 1 let. a LPA).![endif]&gt;![if&gt; 2. L’objet du litige est la décision sur réclamation du 16 janvier 2023 confirmant la mise à la charge du recourant de deux émoluments de CHF 300.- au terme des deux décisions ayant prononcé la levée de son secret professionnel à l’égard d’anciens clients pour faire valoir ses créances d’honoraires devant les juridictions civiles.![endif]&gt;![if&gt; 3. Le recourant invoque la violation du principe de la légalité.![endif]&gt;![if&gt; 3.1 De jurisprudence constante, la chambre administrative est habilitée à revoir, à titre préjudiciel et à l'occasion de l'examen d'un cas concret, la conformité des normes de droit cantonal au droit fédéral ( ATA/914/2019 précité consid. 7 ; ATA/319/2018 du 10 avril 2018 consid. 6a et les arrêts cités ; Pierre MOOR/Alexandre FLÜCKIGER/Vincent MARTENET, op. cit., p. 345 ss n. 2.7.3). Cette compétence découle du principe de la primauté du droit fédéral sur le droit des cantons, ancré à l'art. 49 al. 1 Cst. (ATF 138 I 410 consid. 3.1 ; ATA/914/2019 précité consid. 7). D'une manière générale, les lois cantonales ne doivent rien contenir de contraire à la Constitution fédérale de la Confédération suisse du 18 avril 1999 (Cst. - RS 101), aux lois et ordonnances du droit fédéral (ATF 141 V 455 consid. 6.1 et l'arrêt cité ; Giorgio MALINVERNI/Michel HOTTELIER/Maya HERTIG RANDALL/Alexandre FLÜCKIGER, Droit constitutionnel suisse, vol. I, 4ème éd., 2021, p. 868 ss n. 2370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ATA/914/2019 précité consid. 7 ; Pierre MOOR/Alexandre FLÜCKIGER/ Vincent MARTENET, op. cit., p. 352 ss n. 2.7.4.2).![endif]&gt;![if&gt; 3.2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devant avoir un fondement dans une loi ( ATA/43/2022 du 18 janvier 2022 consid. 5 ; Pierre MOOR/Alexandre FLÜCKIGER/Vincent MARTENET, Droit administratif, vol. I, 3 ème éd., 2012, p. 621s, 624 et 650 ; Thierry TANQUEREL, Manuel de droit administratif, 2 ème éd., 2018, n. 448, 467 ss et 476 ss).![endif]&gt;![if&gt; Au niveau fédéral, le principe de la séparation des pouvoirs est implicitement contenu dans la Constitution fédérale (Pierre MOOR/Alexandre FLÜCKIGER /Vincent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 119 Ia 28 consid. 3 ; 118 Ia 305 consid. 1a).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 114 Ia 286 consid. 5a ; ATA/52/2015 du 13 janvier 2015 consid. 2 ; ATA/168/2008 du 8 avril 2008 consid. 3a ; ACST/28/2018 du 12 décembre 2018 consid. 8b). Le mécanisme de la délégation législative est solidement ancré dans le droit public cantonal ( ATA/52/2015 du 13 janvier 2015 consid. 2b ; ATA/585/2014 du 29 juillet 2014 consid. 4e ; ATA/391/2007 du 7 août 2007 consid. 6).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;118 Ia consid. 3 ; 115 Ia 277 consid. 7) et qui ont elles-mêmes valeur constitutionnelle. La délégation ne doit pas être prohibée par le droit cantonal. Elle doit se limiter chaque fois à une matière déterminée. Elle doit figurer dans une loi au sens formel. La norme de délégation doit indiquer le contenu essentiel de la réglementation, y compris en cas de rapport de droit spécial tel que le droit de la fonction publique (ATF 128 I 113 consid. 3c ; Thierry TANQUEREL, op. cit., n. 497). Un acte législatif qui ne respecte pas l'une ou l'autre de ces quatre conditions ainsi qu'une décision qui se base sur une telle ordonnance, manquent de base légale et violent le principe de la séparation des pouvoirs ( ATA/52/2015 précité consid. 2b ; ATA/585/2014 précité consid. 4e ; ATA/391/2007 précité consid. 6 ; Andreas AUER/Giorgio MALINVERNI/Michel HOTTELIER, op. cit., p. 543 ss.).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ATA/52/2015 du 13 janvier 2015 consid. 2c ; ATA/571/2014 du 29 juillet 2014 consid. 6 ; Andreas AUER/Giorgio MALINVERNI/Michel HOTTELIER, op. cit., p. 540 ss ; Pierre MOOR/Alexandre FLÜCKIGER/Vincent MARTENET, op. cit., vol. I, p. 244 ss et 251 ss ; Thierry TANQUEREL, op. cit., n. 323 ss et 371). Pour déterminer l'étendue du pouvoir réglementaire, il faut interpréter la loi quelle que soit la nature de la norme (Pierre MOOR/Alexandre FLÜCKIGER/Vincent MARTENET, op. cit., vol. I, p. 244 ss) 4. Selon l'art. 49 LPAv, la LPA s'applique dans la mesure où la LPAv n'y déroge pas. ![endif]&gt;![if&gt; L'art. 49A LPAv prévoit que le règlement d'application de la LPAv fixe notamment les frais et émoluments de procédure. Le Conseil d'État édicte les dispositions réglementaires nécessaires à l'exécution de la LPAv (art. 52 LPAv). Sur cette base, le Conseil d'État a adopté le RPAv. 4.1 Selon l’art. 9 al. 1 RPAv, en rendant sa décision, la commission, son bureau ou son président statue sur les éventuels frais de procédure, qui comprennent notamment les indemnités payées aux experts, interprètes et témoins, ainsi que le coût des expertises et des traductions écrites. Un émolument de CHF 100.- à CHF 600.- est perçu pour les décisions concernant la levée du secret professionnel (art. 9 al. 2 let. g RPAv), dont le débiteur est l'avocat ou l'avocat stagiaire concerné par la décision ou l'acte (art. 9 al. 3 RPAv). 4.2 Selon les travaux préparatoires, l'adoption de l'art. 49A LPAv avait pour but de donner la possibilité à la commission de percevoir des frais et émoluments dans le cadre de son activité (Mémorial des séances du Grand Conseil de la République et canton de Genève [ci-après : MCG], 2008/2009/IV, Volume des annexes, p. 5938-5972, p. 5958). En effet, jusqu'à la modification de la LPAv du 26 avril 2002, la commission était considérée comme une autorité administrative dépendante, ce qui lui permettait d'assortir ses décisions des frais de procédure et émoluments en vertu des art. 86 ss LPA (MCG, 2008/2009/IV, Volume des annexes, p. 5938-5972, p. 5968). Avec son nouveau statut d'« autorité cantonale de surveillance », la LPAv devait être complétée formellement par l’adoption de l'art. 49A LPAv. Il était précisé que « [l]es frais et émoluments liés tant à l'activité juridictionnelle qu'administrative de la Commission ser[aient] ensuite détaillés dans le règlement d'application » (MCG, 2008/2009/IV, Volume des annexes, p. 5938-5972, p. 5968).![endif]&gt;![if&gt; 4.3 En l'espèce, l'art. 49A LPAv se borne à renvoyer au RPAv pour la fixation des frais et émoluments de procédure, sans donc mentionner à la charge de qui ces frais et émoluments doivent être mis. Seul l'art. 9 al. 3 RPAv impose à l'avocat ou l'avocat-stagiaire le paiement des émoluments prévus notamment en cas de décision de levée du secret professionnel.![endif]&gt;![if&gt; Le cadre tracé par la LPAv délègue au Conseil d'État la compétence de fixer les frais et émoluments liés tant à l'activité juridictionnelle qu'administrative de la commission. Toutefois, concernant la compétence de déterminer à qui incombe le paiement desdits frais et émoluments, les conditions de base de la délégation ne sont pas respectées. Le contenu essentiel de cette délégation n’a trait en effet qu’à la fixation des frais et émoluments. Or, le Conseil d'État impose une nouvelle règle qui oblige l'avocat ou l'avocat-stagiaire à s'acquitter des émoluments relatifs à l'exercice de la profession d'avocat. Le Conseil d'État, en adoptant l’art. 9 al. 3 RPAv a donc outrepassé sa compétence d'exécution de la loi en édictant une norme primaire, alors que l’art. 49A LPAv ne lui donne comme compétence que celle d'édicter des normes secondaires d'application de la LPAv. L'art. 9 al. 3 RPAv n'ayant aucun fondement dans une clause de délégation législative ne peut constituer une base légale valable. Par conséquent, la décision litigieuse, prise en application du RPAv, se fonde sur une base légale insuffisante et viole de ce fait le principe de la légalité. 5. Reste à déterminer si les émoluments litigieux peuvent être mis à la charge du recourant sur une autre base.![endif]&gt;![if&gt; 5.1 Comme déjà relevé, la LPA s'applique à la LPAv, dans la mesure où cette dernière n'y déroge pas (art. 49 LPAv).![endif]&gt;![if&gt; 5.2 En vertu de l'art. 87 al. 1 LPA, la juridiction administrative qui rend la décision statue sur les frais de procédure et émoluments. Un principe général de procédure administrative veut que les frais soient supportés par la partie qui succombe et dans la mesure où elle succombe ( ATA/882/2016 , consid. 3 ; René RHINOW et al., Öfflentliches Prozessrecht, 3 ème éd., 2021, n. 971 ; Regina KIENER/Bernhard RÜTSCHE/Mathias KUHN, Öffentliches Prozessrecht, 3 ème éd., 2021, n. 1673 ; Benoît BOVAY, Procédure administrative, 2 ème éd., 2015, p. 642).![endif]&gt;![if&gt; Il est de jurisprudence constante que la partie qui succombe doit supporter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En matière de levée du secret professionnel, l'avocat doit d'abord rechercher le consentement de son client (Benoît CHAPPUIS/Pascal MAURER, Loi sur les avocats, Commentaire Romand, 2 ème éd., 2022, n 286 ad art. 13 LLCA). Une procédure de levée du secret professionnel de l’avocat ne saurait par conséquent avoir lieu que dans la mesure où le client s’oppose à la levée de ce secret ou n’est plus en mesure de donner son consentement (Jean-Louis COLLART/Ernst STAEHELIN, Pratique de la profession d’avocat/Rechtsprechung Zum Anwaltsrecht, Revue de l'avocat 2015 p. 283 ss, 290). ![endif]&gt;![if&gt; 5.3 En l'espèce, c’est parce que les deux anciens clients du recourant ont refusé la levée du secret professionnel que le recourant s'est vu contraint de saisir la commission pour pouvoir agir en justice en vue du recouvrement de ses honoraires. Cette dernière a fait droit à cette requête et, partant, donné raison à l’avocat. Ce dernier a donc obtenu gain de cause et ses deux anciens clients ont succombé. Autrement dit, il a été retenu que c’est à tort qu’ils se sont opposés à cette demande de levée de secret professionnel.![endif]&gt;![if&gt; Par conséquent, en application de l'art. 87 al. 1 LPA cum 49 LPAv et des principes qui précèdent, c’est à leur charge que les émoluments de décision de la commission doivent être mis et non à celle de l’avocat qui a obtenu gain de cause. Au vu de ce qui précède, le recours sera admis et la décision sur réclamation de la commission annulée. La procédure sera renvoyée à la commission pour nouvelles décisions dans le sens des considérants. 6. Aucun émolument ne sera mis à la charge du recourant, qui obtient gain de cause (art. 87 al. 1 LPA). En tant qu’il plaide en personne et n'expose pas que le recours lui aurait occasionné des frais, le recourant ne peut se voir 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