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A/4073/2022 vom 3. April 2023</w:t>
      </w:r>
    </w:p>
    <w:p>
      <w:r>
        <w:t>GE Cour de justice, 2023-04-03, FR</w:t>
      </w:r>
    </w:p>
    <w:p>
      <w:r>
        <w:rPr>
          <w:b/>
        </w:rPr>
        <w:t xml:space="preserve">Quelle: </w:t>
      </w:r>
      <w:r>
        <w:t>https://mcp.opencaselaw.ch/entscheid/ge_gerichte_A_4073_2022</w:t>
      </w:r>
    </w:p>
    <w:p>
      <w:r>
        <w:t>FR: GE_GERICHTE A/4073/2022 du 3 avril 2023</w:t>
      </w:r>
    </w:p>
    <w:p>
      <w:r>
        <w:t>IT: GE_GERICHTE A/4073/2022 del 3 aprile 2023</w:t>
      </w:r>
    </w:p>
    <w:p>
      <w:pPr>
        <w:pStyle w:val="Heading2"/>
      </w:pPr>
      <w:r>
        <w:t>Erwägungen</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ATF 125 V 256 consid. 4 et les références).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6.1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6.2</w:t>
      </w:r>
    </w:p>
    <w:p>
      <w:r>
        <w:t>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références).![endif]&gt;![if&gt;</w:t>
      </w:r>
    </w:p>
    <w:p>
      <w:r>
        <w:rPr>
          <w:b/>
        </w:rPr>
        <w:t>E. 6.3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7</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LPGA).![endif]&gt;![if&gt;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w:t>
      </w:r>
    </w:p>
    <w:p>
      <w:r>
        <w:rPr>
          <w:b/>
        </w:rPr>
        <w:t>E. 7.1</w:t>
      </w:r>
    </w:p>
    <w:p>
      <w:r>
        <w:t>Pour fixer le revenu sans invalidité, il faut établir ce que l'assuré aurait – au degré de la vraisemblance prépondérante – réellement pu obtenir au moment déterminant s'il n'était pas invalide (ATF 139 V 28 consid. 3.3.2 et ATF 135 V 297 consid. 5.1). Ce revenu doit être évalué de manière aussi concrète que possible si bien qu’il convient, en règle générale, de se référer au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 arrêt du Tribunal fédéral 9C_869/2017 du 4 mai 2018 consid. 2.2). Ce n'est qu'en présence de circonstances particulières qu'il peut se justifier qu'on s'en écarte et qu'on recoure aux données statistiques résultant de l’ESS éditée par l'Office fédéral de la statistique (arrêt du Tribunal fédéral des assurances I 201/06 du 14 juillet 2006 consid. 5.2.3 et I 774/01 du 4 septembre 2002). ![endif]&gt;![if&gt;</w:t>
      </w:r>
    </w:p>
    <w:p>
      <w:r>
        <w:rPr>
          <w:b/>
        </w:rPr>
        <w:t>E. 7.2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143 V 295 consid. 2.2 et la référence ; ATF 135 V 297 consid. 5.2 et les références).![endif]&gt;![if&gt;</w:t>
      </w:r>
    </w:p>
    <w:p>
      <w:r>
        <w:rPr>
          <w:b/>
        </w:rPr>
        <w:t>E. 7.3</w:t>
      </w:r>
    </w:p>
    <w:p>
      <w:r>
        <w:t>Lorsque l’assuré dispose encore d’une capacité de travail dans son ancienne activité, le revenu d’invalide est celui du dernier emploi et le degré d’invalidité correspond au degré d’incapacité de travail (arrêt du Tribunal fédéral 9C_576/2016 du 13 juin 2017).![endif]&gt;![if&gt;</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8.2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1d).![endif]&gt;![if&gt;</w:t>
      </w:r>
    </w:p>
    <w:p>
      <w:r>
        <w:rPr>
          <w:b/>
        </w:rPr>
        <w:t>E. 9</w:t>
      </w:r>
    </w:p>
    <w:p>
      <w:r>
        <w:t>![endif]&gt;![if&gt;</w:t>
      </w:r>
    </w:p>
    <w:p>
      <w:r>
        <w:rPr>
          <w:b/>
        </w:rPr>
        <w:t>E. 9.1</w:t>
      </w:r>
    </w:p>
    <w:p>
      <w:r>
        <w:t>En l’occurrence, l’intimé a nié le droit du recourant à une rente d’invalidité en tenant compte, du point de vue orthopédique, d’une capacité de travail nulle de celui-ci dès le 6 mai 2015 et de 70% dès le 19 février 2016 et, du point de vue psychiatrique, d’une capacité de travail totale, de sorte que le degré d’invalidité du recourant, qui se confondait avec le degré de l’incapacité de travail, était de 30%. Par ailleurs, l’accident du 12 décembre 2021 entrainait une incapacité de travail sans incidence car limitée à une durée de 3 mois.![endif]&gt;![if&gt;</w:t>
      </w:r>
    </w:p>
    <w:p>
      <w:r>
        <w:rPr>
          <w:b/>
        </w:rPr>
        <w:t>E. 9.2</w:t>
      </w:r>
    </w:p>
    <w:p>
      <w:r>
        <w:t>Le recourant conclut à l’octroi d’une rente entière d’invalidité. Il fait valoir une aggravation de son état de santé du point de vue orthopédique - depuis les accidents des 9 août 2019 et 12 décembre 2021 - et également du point de vue psychique, la Dresse H______ ayant attesté une recrudescence des symptômes.![endif]&gt;![if&gt;</w:t>
      </w:r>
    </w:p>
    <w:p>
      <w:r>
        <w:rPr>
          <w:b/>
        </w:rPr>
        <w:t>E. 9.3</w:t>
      </w:r>
    </w:p>
    <w:p>
      <w:r>
        <w:t>S’agissant de l’aspect somatique, il convient de constater que les parties admettent la valeur probante de l’expertise judiciaire du Prof. I______ du 21 novembre 2018, complétée le 29 juillet 2019, concluant à une capacité de travail du recourant de 70% dans une activité adaptée, soit une activité sédentaire et administrative, sans port de charge ou de marche (déplacements limités) et permettant le changement de position.![endif]&gt;![if&gt; Conformément à l’ ATAS/51/2020 du 27 janvier 2020, il convient d’admettre qu’en suivant les conclusions du Prof. I______, il est établi que le recourant présente, à tout le moins depuis le 27 juin 2018, date de l’examen clinique de l’expert, une capacité de travail de 70% dans une activité adaptée et que cette capacité existait déjà dès le 19 février 2016, soit à la date de l’examen clinique du Dr G______. Le recourant ne le conteste d’ailleurs pas. Quant à l’intimé, à la suite de l’avis du SMR du 19 octobre 2022, il a finalement conclu que la capacité de travail du recourant était effectivement limitée à 70% dès le 19 février 2016 et au-delà du 9 février 2020 (date préalablement fixée pour retenir une capacité de travail de 100% dans une activité adaptée). Le recourant fait cependant valoir une aggravation de son état de santé à la suite des accidents de 2019 et 2021.</w:t>
      </w:r>
    </w:p>
    <w:p>
      <w:r>
        <w:rPr>
          <w:b/>
        </w:rPr>
        <w:t>E. 9.3.1</w:t>
      </w:r>
    </w:p>
    <w:p>
      <w:r>
        <w:t>S’agissant de l’accident de 2019, le Prof. I______ en a tenu compte dans son évaluation du 20 novembre 2019 puisqu’il estime qu’elle a entrainé une incapacité de travail totale de quelques mois, sans impact sur l’exigibilité dans une activité adaptée. Le 20 février 2020, dans un rapport à l’intimé, le Prof. I______ relève une évolution favorable au niveau du coude droit mais un retard de consolidation de la base du 5 ème métatarse droit. Le 11 mai 2020, le Prof. I______ mentionne une évolution vers une pseudarthrose de la base du 5 ème métacarpien à droite. Le 25 mai 2020, il relève que l’accident de 2019 a entrainé une fracture de la tête radiale droite qui était consolidée, une fracture de la base du 5 ème orteil droit en voie de consolidation et une contusion de l’épaule droite ; le bilan de celle-ci avait montré un kyste spinoglénoïdien volumineux et une déchirure étendue du labrum, avec une discrète arthrose AC. Il atteste d’une incapacité de travail totale du recourant pour accident du 28 octobre 2019 au 30 juin 2020. Au demeurant, le Prof. I______ ne relève pas de limitations fonctionnelles supplémentaires incapacitantes par rapport à sa première évaluation. Le SMR a également tenu compte des conséquences de l’accident de 2019 dans son avis du 25 janvier 2022, dès lors qu’il se fonde, pour établir la capacité de travail du recourant, sur l’expertise orthopédique du Dr K______ du 15 juillet 2021, lequel a évalué l’impact des lésions dues à l’accident de 2019 sur la capacité de travail du recourant et considère qu’elles ne sont pas incapacitantes (expertise du Dr K______ pp. 6, 17, 23, 24, 26, 32, 33 et 36). Au demeurant, l’intimé a bien pris en considération les conséquences de l’accident de 2019 et aucun élément au dossier ne permet d’établir qu’elles entraineraient des limitations fonctionnelles supplémentaires.![endif]&gt;![if&gt;</w:t>
      </w:r>
    </w:p>
    <w:p>
      <w:r>
        <w:rPr>
          <w:b/>
        </w:rPr>
        <w:t>E. 9.3.2</w:t>
      </w:r>
    </w:p>
    <w:p>
      <w:r>
        <w:t>S’agissant de l’accident de 2021, le SMR a examiné ses conséquences dans son avis du 28 juin 2022 et estimé, sur la base du rapport du Dr M______ du 3 février 2022, que les suites de la fracture étaient favorables, de sorte qu’une incapacité de travail totale de trois mois pouvait être retenue depuis le 12 décembre 2021. Aucun rapport médical au dossier n’atteste d’une aggravation de l’état de santé du recourant qui serait durable, en raison des suites de cet accident, étant relevé qu’une telle aggravation ne pourrait être prise en compte que jusqu’au jour de la date de la décision litigieuse le 27 octobre 2022 (ATF 144 V 210 ).![endif]&gt;![if&gt;</w:t>
      </w:r>
    </w:p>
    <w:p>
      <w:r>
        <w:rPr>
          <w:b/>
        </w:rPr>
        <w:t>E. 9.3.3</w:t>
      </w:r>
    </w:p>
    <w:p>
      <w:r>
        <w:t>Au vu de ce qui précède, la conclusion de l’intimé quant à une capacité de travail du recourant, du point de vue orthopédique, nulle dès le 6 mai 2015 et de 70% dès le 19 février 2016 dans l’activité habituelle du recourant, jugée adaptée, peut être confirmée.![endif]&gt;![if&gt;</w:t>
      </w:r>
    </w:p>
    <w:p>
      <w:r>
        <w:rPr>
          <w:b/>
        </w:rPr>
        <w:t>E. 9.4</w:t>
      </w:r>
    </w:p>
    <w:p>
      <w:r>
        <w:t>S’agissant de l’aspect psychiatrique, la Dresse J______ a rendu une expertise judiciaire le 16 janvier 2019 (procédure A/853/2017). L’experte a écarté un syndrome dépressif - tous les éléments constitutifs de celui-ci n’étant pas retrouvés - et a posé le diagnostic de syndrome douloureux somatoforme persistant, incapacitant à hauteur de 50%. En application des indicateurs jurisprudentiels pertinents précités, il apparait cependant que le caractère incapacitant du syndrome douloureux somatoforme persistant ne peut être retenu. En effet, l’experte a souligné qu’il existait des incohérences, la baisse de l’intérêt et du plaisir évoquée par le recourant n’étant pas présente lorsqu’il était en vacances et, s’agissant de la grande fatigabilité, le recourant était néanmoins capable de conduire, se concentrer et supporter plusieurs heures de voyage (expertise de la Dresse J______ p. 23) ; par ailleurs, il existait des zones d’ombre sur le plan anamnestique et il subsistait des zones de flou concernant la façon dont le recourant passait ses journées (expertise de la Dresse J______ p. 20). Le recourant avait adopté un comportement contradictoire en souhaitant être expertisé, avec un empressement à fixer le premier rendez-vous, tout en contestant la légitimité de l’expertise, en demandant pourquoi il devait se justifier auprès de l’experte (expertise de la Dresse J______ p. 20). Au demeurant, l’experte a conclu à quelques aspects manipulatoires relationnels et à une démonstrativité (expertise de la Dresse J______ p. 18) ; elle estime que d’autres pistes de traitement devraient encore être explorées avant de pouvoir affirmer que le pronostic du trouble psychique est réservé (consilium des experts du 2 décembre 2018). En outre, l’experte n’a pas précisé les limitations fonctionnelles psychiatriques qui motiveraient une diminution de rendement de 50%. En effet, elle relève seulement que le recourant pourrait recommencer une activité ne nécessitant pas de marche ou de rester trop longtemps debout, comme son ancien métier de comptable, sans expliquer en quoi, du point de vue psychiatrique, le recourant serait limité (expertise de la Dresse J______ p. 26 et consilium des experts du 2 décembre 2018).![endif]&gt;![if&gt; L’expertise du Dr L______ va également dans le sens d’une exclusion du caractère incapacitant du trouble psychiatrique retenu ; il confirme le diagnostic de syndrome douloureux somatoforme persistant et constate la présence de troubles anxieux et dépressifs mixtes mais estime que ces diagnostics n’entrainent pas de limitations fonctionnelles. Il souligne que le recourant a des ressources et qu’il existet des divergences entre les symptômes décrits et l’examen clinique (expertise du Dr L______, p. 33). Le recourant fait valoir les avis de sa psychiatre traitante, la Dresse H______. Cependant, ceux-ci ne sont pas à même d’établir un diagnostic incapacitant, ce d’autant qu’ils relatent principalement les plaintes du courant (rapports de la Dresse H______ des 15 janvier et 30 juin 2020), sans se prononcer sur les indicateurs jurisprudentiels pertinents pour évaluer le caractère incapacitant d’un trouble psychique. Au vu de ce qui précède, tant la diminution de rendement de 50% retenue par l’experte J______ que l’avis de la psychiatre traitante du recourant ne peuvent être suivis et le recourant doit être considéré comme capable, du point de vue psychiatrique, d’exercer toute activité à un taux de 100%.</w:t>
      </w:r>
    </w:p>
    <w:p>
      <w:r>
        <w:rPr>
          <w:b/>
        </w:rPr>
        <w:t>E. 9.5</w:t>
      </w:r>
    </w:p>
    <w:p>
      <w:r>
        <w:t>Du point de vue somatique et psychiatrique, le recourant présente ainsi une capacité de travail nulle dès le 6 mai 2015 et de 70% dans une activité adaptée à ses limitations fonctionnelles somatiques, depuis le 19 février 2016.![endif]&gt;![if&gt;</w:t>
      </w:r>
    </w:p>
    <w:p>
      <w:r>
        <w:rPr>
          <w:b/>
        </w:rPr>
        <w:t>E. 10</w:t>
      </w:r>
    </w:p>
    <w:p>
      <w:r>
        <w:t>![endif]&gt;![if&gt;</w:t>
      </w:r>
    </w:p>
    <w:p>
      <w:r>
        <w:rPr>
          <w:b/>
        </w:rPr>
        <w:t>E. 10.1</w:t>
      </w:r>
    </w:p>
    <w:p>
      <w:r>
        <w:t>S’agissant du calcul du degré d’invalidité, si un assuré est en mesure, malgré les limitations dues à son état de santé, de poursuivre l’activité professionnelle qu’il exerçait jusqu’alors, le cas échéant, avec une capacité de rendement limitée, il n’est pas nécessaire de recourir à des valeurs statistiques et le degré d’invalidité se confond avec le degré d’incapacité de travail (arrêt du Tribunal fédéral 9C_576/2016 du 13 juin 2017 précité).![endif]&gt;![if&gt; S’agissant de la dernière activité professionnelle exercée par le recourant pour B______ SA, il ressort du dossier les éléments suivants : l’activité était celle de gestionnaire dans une entreprise familiale (expertise du Prof I______ p. 4). Selon le rapport de l’employeur du 26 janvier 2016, le recourant exerçait une activité de « relations avec nos clients, administrative, comptabilité », laquelle nécessitait qu’il soit souvent assis, parfois debout, qu’il marche parfois (soit entre une demie heure et trois heures) et, rarement, qu’il soulève des poids. L’employeur a indiqué que le recourant pouvait, à son avis, faire un travail « ordinateur, tout genre, y compris compta, excel, word, administration, organisation, supervision ». Au vu des limitations fonctionnelles retenues, l’exigibilité de la dernière activité professionnelle du recourant, à un taux de 70%, peut être confirmée, ce qui n’est pas spécifiquement contesté par le recourant.</w:t>
      </w:r>
    </w:p>
    <w:p>
      <w:r>
        <w:rPr>
          <w:b/>
        </w:rPr>
        <w:t>E. 10.2</w:t>
      </w:r>
    </w:p>
    <w:p>
      <w:r>
        <w:t>En l’occurrence, le recourant était apte à exercer son ancienne activité, dès le 19 février 2016, soit à l’issue du délai de carence d’une année dès l’incapacité de travail totale du 6 mai 2015 ; son degré d’invalidité se confond ainsi avec celui de son incapacité de travail, soit un taux de 30%.![endif]&gt;![if&gt; Celui-ci étant insuffisant pour ouvrir le droit à une rente d’invalidité, le recours ne peut qu’être rejeté. Au vu du sort du recours, il y a lieu de condamner le recourant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