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A/4064/2006 vom 9. August 2006</w:t>
      </w:r>
    </w:p>
    <w:p>
      <w:r>
        <w:t>GE Cour de justice, 2006-08-09, FR</w:t>
      </w:r>
    </w:p>
    <w:p>
      <w:r>
        <w:rPr>
          <w:b/>
        </w:rPr>
        <w:t xml:space="preserve">Quelle: </w:t>
      </w:r>
      <w:r>
        <w:t>https://mcp.opencaselaw.ch/entscheid/ge_gerichte_A_4064_2006</w:t>
      </w:r>
    </w:p>
    <w:p>
      <w:r>
        <w:t>FR: GE_GERICHTE A/4064/2006 du 9 août 2006</w:t>
      </w:r>
    </w:p>
    <w:p>
      <w:r>
        <w:t>IT: GE_GERICHTE A/4064/2006 del 9 agosto 2006</w:t>
      </w:r>
    </w:p>
    <w:p>
      <w:pPr>
        <w:pStyle w:val="Heading2"/>
      </w:pPr>
      <w:r>
        <w:t>Regeste</w:t>
      </w:r>
    </w:p>
    <w:p>
      <w:r>
        <w:t>Réquisition de poursuite, représentation | LP.17.4, LP.27.1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présente plainte est dirigée contre le refus de l’Office de donner suite à la réquisition de poursuite, soit une mesure sujette à plainte. En tant que créancier poursuivant, le plaignant a qualité pour former la présente plainte. Il a agi en temps utile et sa plainte satisfait aux exigences de forme et de contenu prescrites par la loi (art. 17 al. 2 LP ; art. 13 al.1 et 2 LaLP). La plainte n’est en outre pas affectée d’un motif d’irrecevabilité du fait que le plaignant est représenté par une amie. En effet, la représentation purement occasionnelle, c’est-à-dire non professionnelle, est libre ; les cantons ne sauraient la limiter ou la faire dépendre d’un brevet professionnel et encore moins d’une patente d’avocat (art. 27 al. 1 a contrario LP ; ATF 66 III 6 ; ATF 61 III 202 ; ATF 47 III 125 ; DCSO/221/05 consid. 2 du 7 avril 2005 ; Walter A. Stoffel, Voies d’exécution, § 3 n° 15 ; Markus Roth , in SchKG I, ad art. 27 n° 3 s. ; Pierre-Robert Gilliéron , Commentaire, ad art. 27 n° 16 ; Pauline Erard , in CR-LP, ad art. 27 n° 2 ss ; Hans Fritzsche / Hans Ulrich Walder - Bohner , SchK I, § 9 n° 40). Elle est donc recevable.</w:t>
      </w:r>
    </w:p>
    <w:p>
      <w:r>
        <w:rPr>
          <w:b/>
        </w:rPr>
        <w:t>E. 2</w:t>
      </w:r>
    </w:p>
    <w:p>
      <w:r>
        <w:t>Selon l'art. 17 al. 4 LP, l'Office peut, jusqu'à l'envoi de sa réponse, procéder à un nouvel examen de la décision attaquée. S'il prend une nouvelle mesure, il la notifie sans délai aux parties et en donne connaissance à l'autorité de surveillance.</w:t>
      </w:r>
    </w:p>
    <w:p>
      <w:r>
        <w:rPr>
          <w:b/>
        </w:rPr>
        <w:t>E. 3</w:t>
      </w:r>
    </w:p>
    <w:p>
      <w:r>
        <w:t>Déboute les parties de toutes autres conclusions. Siégeant : M. Serge FASEL, président suppléant ; M. Philipp GANZONI, juge assesseur et M. Yves de COULON, juge assesseur suppléant. Au nom de la Commission de surveillance : Cendy RENAUD Serge FASEL Commise-greffière : Président suppléant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