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A/4058/2021 vom 20. Juni 2023</w:t>
      </w:r>
    </w:p>
    <w:p>
      <w:r>
        <w:t>GE Cour de justice, 2023-06-20, FR</w:t>
      </w:r>
    </w:p>
    <w:p>
      <w:r>
        <w:rPr>
          <w:b/>
        </w:rPr>
        <w:t xml:space="preserve">Quelle: </w:t>
      </w:r>
      <w:r>
        <w:t>https://mcp.opencaselaw.ch/entscheid/ge_gerichte_A_4058_2021</w:t>
      </w:r>
    </w:p>
    <w:p>
      <w:r>
        <w:t>FR: GE_GERICHTE A/4058/2021 du 20 juin 2023</w:t>
      </w:r>
    </w:p>
    <w:p>
      <w:r>
        <w:t>IT: GE_GERICHTE A/4058/2021 del 20 giugno 2023</w:t>
      </w:r>
    </w:p>
    <w:p>
      <w:pPr>
        <w:pStyle w:val="Heading2"/>
      </w:pPr>
      <w:r>
        <w:t>Erwägungen</w:t>
      </w:r>
    </w:p>
    <w:p>
      <w:r>
        <w:rPr>
          <w:b/>
        </w:rPr>
        <w:t>E. 5</w:t>
      </w:r>
    </w:p>
    <w:p>
      <w:r>
        <w:t>Le 1 er janvier 2017 est entrée en vigueur la modification du 25 septembre 2015 de la LAA. Dans la mesure où l’accident est survenu avant cette date, le droit de la recourante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6</w:t>
      </w:r>
    </w:p>
    <w:p>
      <w:r>
        <w:t>![endif]&gt;![if&gt;</w:t>
      </w:r>
    </w:p>
    <w:p>
      <w:r>
        <w:rPr>
          <w:b/>
        </w:rPr>
        <w:t>E. 6.1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références).![endif]&gt;![if&gt;</w:t>
      </w:r>
    </w:p>
    <w:p>
      <w:r>
        <w:rPr>
          <w:b/>
        </w:rPr>
        <w:t>E. 6.2</w:t>
      </w:r>
    </w:p>
    <w:p>
      <w:r>
        <w:t>La responsabilité de l’assureur-accidents s’étend, en principe, à toutes les conséquences dommageables qui se trouvent dans un rapport de causalité naturelle (ATF 129 V 177 consid. 3.1 ; ATF 129 V 402 consid. 4.3.1 et les réf.) et adéquate avec l’événement assuré (ATF 129 V 177 consid. 3.2 ; ATF 129 V 402 consid. 2.2 et les références).![endif]&gt;![if&gt;</w:t>
      </w:r>
    </w:p>
    <w:p>
      <w:r>
        <w:rPr>
          <w:b/>
        </w:rPr>
        <w:t>E. 7</w:t>
      </w:r>
    </w:p>
    <w:p>
      <w:r>
        <w:t>![endif]&gt;![if&gt;</w:t>
      </w:r>
    </w:p>
    <w:p>
      <w:r>
        <w:rPr>
          <w:b/>
        </w:rPr>
        <w:t>E. 7.1</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![endif]&gt;![if&gt;</w:t>
      </w:r>
    </w:p>
    <w:p>
      <w:r>
        <w:rPr>
          <w:b/>
        </w:rPr>
        <w:t>E. 8</w:t>
      </w:r>
    </w:p>
    <w:p>
      <w:r>
        <w:t>![endif]&gt;![if&gt;</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![endif]&gt;![if&gt;</w:t>
      </w:r>
    </w:p>
    <w:p>
      <w:r>
        <w:rPr>
          <w:b/>
        </w:rPr>
        <w:t>E. 8.2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w:t>
      </w:r>
    </w:p>
    <w:p>
      <w:r>
        <w:rPr>
          <w:b/>
        </w:rPr>
        <w:t>E. 8.3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135 V 297 consid. 5.1 et les références ; 134 V 322 consid. 4.1 et les références). ![endif]&gt;![if&gt;</w:t>
      </w:r>
    </w:p>
    <w:p>
      <w:r>
        <w:rPr>
          <w:b/>
        </w:rPr>
        <w:t>E. 8.4</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Caisse nationale suisse d’assurance en cas d’accidents (ATF 139 V 592 consid. 2.3 p. 593).![endif]&gt;![if&gt;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w:t>
      </w:r>
    </w:p>
    <w:p>
      <w:r>
        <w:rPr>
          <w:b/>
        </w:rPr>
        <w:t>E. 8.4.1</w:t>
      </w:r>
    </w:p>
    <w:p>
      <w:r>
        <w:t>Le Tribunal fédéral admet à titre exceptionnel qu’il est possible, pour le revenu d’invalide, de se baser sur le revenu effectivement réalisé, pour autant que l’atteinte à la santé permette un taux d’activité plus élevé et que l’augmentation du taux d’activité soit effectivement possible auprès de l’employeur actuel (arrêt du Tribunal fédéral 8C_7/2014 du 10 juillet 2014 consid. 7.2). Pour le reste, il est nécessaire que cette activité soit stable, mette pleinement en valeur la capacité de travail résiduelle de l’intéressé(e) et lui procure un gain correspondant au travail effectivement fourni, sans contenir d’élément de salaire social. Si ces conditions sont réunies, on prendra en compte le revenu effectivement réalisé pour fixer le revenu d’invalide (ATF 139 V 592 consid. 2.3 et les références; ATF 135 V 297 consid. 5.2 et les références).![endif]&gt;![if&gt;</w:t>
      </w:r>
    </w:p>
    <w:p>
      <w:r>
        <w:rPr>
          <w:b/>
        </w:rPr>
        <w:t>E. 8.4.2</w:t>
      </w:r>
    </w:p>
    <w:p>
      <w:r>
        <w:t>En ce qui concerne le point de savoir si une augmentation du taux d’activité est effectivement possible auprès l’employeur actuel (ci-dessus : consid. 8.4.1), il implique que l’administration et/ou le juge demande à l’employeur si une augmentation si une augmentation du taux d’activité serait effectivement possible (cf. l’arrêt 8C_7/2014 précité, consid. 7.2). Alors que cet arrêt semble admettre que la question à poser à l’employeur concerne la situation actuelle, un arrêt plus récent précise que la possibilité d’augmenter le taux d’activité au cours des mois suivants n’est pas pertinente car c’est la situation au moment de la décision sur opposition qui est déterminante (arrêt du Tribunal fédéral 8C_798/2017 du 2 août 2018 consid. 3.2). Que l’on choisisse la solution découlant de l’arrêt 8C_7/2014 ou celle, plus restrictive, de l’arrêt 8C_798/2017 précité, il n’en demeure pas moins que si une augmentation du taux d’activité est/était exigible d’un point de vue médical mais qu’elle se heurte/se heurtait à un refus de l’employeur, il n’y a pas lieu d’extrapoler le revenu effectivement réalisé à concurrence du taux d’activité exigible, mais il convient de déterminer le revenu d’invalide en partie sur la base du revenu actuel à temps partiel et en partie sur la base des statistiques de l’ESS. Il importe de souligner qu’une telle solution, combinant revenu effectif et revenu statistique, nécessite également que l’assurée bénéficie, auprès de son employeur actuel, d’une place de travail mieux rémunérée que la moyenne correspondante résultant des données de l’ESS (cf. l’arrêt 8C_7/2014 précité, consid. 8.1). Si un assuré ne bénéficie pas d’une place de travail mieux rémunérée que la moyenne statistique correspondante, le maintien de l’activité actuelle à temps partiel n’est pas justifié en raison de l’absence de mise en valeur de la capacité de travail résiduelle. Dans cette hypothèse, il convient de déterminer l’ensemble du revenu d’invalide sur la base des données statistiques de l’ESS (cf. arrêt du Tribunal fédéral 9C_140/2017 du 18 août 2017 consid. 5.4.2 ; dans le même sens : arrêt 8C_798/2017 précité, consid. 3.2).![endif]&gt;![if&gt;</w:t>
      </w:r>
    </w:p>
    <w:p>
      <w:r>
        <w:rPr>
          <w:b/>
        </w:rPr>
        <w:t>E. 9</w:t>
      </w:r>
    </w:p>
    <w:p>
      <w:r>
        <w:t>![endif]&gt;![if&gt;</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9.3.1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9.3.2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9.3.3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w:t>
      </w:r>
    </w:p>
    <w:p>
      <w:r>
        <w:t>![endif]&gt;![if&gt;</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11</w:t>
      </w:r>
    </w:p>
    <w:p>
      <w:r>
        <w:t>La chambre de céans examinera tout d’abord la capacité de travail de la recourante sur le plan médical. En effet, celle-ci a mis en cause, lors de son audition, le taux de capacité de travail dans une activité adaptée à 100% retenu, même si elle ne l'a pas contesté dans son recours. Se pose la question de savoir si la modification de ses conclusions est encore recevable à ce stade de la procédure. Toutefois, au vu de ce qui suit, cette question peut rester ouverte.![endif]&gt;![if&gt; L’appréciation du 21 novembre 2020 du Dr Q______, sur laquelle se fonde la décision litigieuse, n’est pas contestée en tant qu’elle retient, sur la base des rapports médicaux versés au dossier, que l’état de santé de la recourante est stabilisé à la date de ce rapport. Pour le surplus, cette décision se réfère aux conclusions de l’expertise pluridisciplinaire de SMEX SA, diligentée par l’OAI, aux termes desquelles la capacité de travail de la recourante est entière dans une activité adaptée à ses limitations fonctionnelles (pas de port de charges de plus de 10kg, changement de position après une heure de travail, pas d’échelle, pas d’échafaudages, limitations des escaliers, etc.). Étant donné que la chambre de céans a déjà admis la valeur probante de ce rapport d’expertise du 13 août 2020 dans l’arrêt ATAS/964/2021 du septembre 2021 – entré en force –, la chambre de céans considère qu’il est établi, au degré requis de la vraisemblance prépondérante (ci-dessus : consid 10.1), que la capacité de travail de l’intéressée est nulle dans son ancien emploi auprès de la Poste, mais entière dans une activité adaptée aux limitations fonctionnelles précitées.</w:t>
      </w:r>
    </w:p>
    <w:p>
      <w:r>
        <w:rPr>
          <w:b/>
        </w:rPr>
        <w:t>E. 12</w:t>
      </w:r>
    </w:p>
    <w:p>
      <w:r>
        <w:t>Il sied ensuite de calculer la perte de gain de la recourante dans l'exercice d'une activité adaptée.![endif]&gt;![if&gt;</w:t>
      </w:r>
    </w:p>
    <w:p>
      <w:r>
        <w:rPr>
          <w:b/>
        </w:rPr>
        <w:t>E. 12.1</w:t>
      </w:r>
    </w:p>
    <w:p>
      <w:r>
        <w:t>En ce qui concerne l'année déterminante pour la comparaison de salaires, il sied de relever que la recourante a terminé la réadaptation professionnelle le 10 mars 2019, date à laquelle elle a reçu la dernière indemnité journalière de l'OAI. Par la suite, elle a bénéficié des indemnités de l'assurance-chômage. ![endif]&gt;![if&gt; Le droit à une rente d'invalidité naissant dès que les éventuelles mesures de réadaptation ont pris fin, selon l'art. 19 al. 1 LAA, il y a lieu de prendre l'année 2019 pour la comparaison des gains. On précisera également que les variations enregistrées pour les revenus à comparer doivent être prises en compte jusqu’à la date de la décision sur opposition (cf. ATF 143 V 295 consid. 4.1.2).</w:t>
      </w:r>
    </w:p>
    <w:p>
      <w:r>
        <w:rPr>
          <w:b/>
        </w:rPr>
        <w:t>E. 12.2</w:t>
      </w:r>
    </w:p>
    <w:p>
      <w:r>
        <w:t>Le revenu sans invalidité retenu par l’intimée (CHF 52’996.- pour un emploi au taux de 70% à la Poste en 2015, soit CHF 75’708.60 pour un plein temps) n’est pas contesté. On rappellera que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(cf. ATF 119 V 475 consid. 2b et les références ; arrêt du Tribunal fédéral 8C_664/2007 du 14 avril 2008 consid. 7.2.2 à 7.2.5 et les références).![endif]&gt;![if&gt;</w:t>
      </w:r>
    </w:p>
    <w:p>
      <w:r>
        <w:rPr>
          <w:b/>
        </w:rPr>
        <w:t>E. 12.3</w:t>
      </w:r>
    </w:p>
    <w:p>
      <w:r>
        <w:t>Dans l'année déterminante 2019, la recourante était sans emploi, de sorte que le revenu d'invalide doit être déterminé sur la base des statistiques.![endif]&gt;![if&gt;</w:t>
      </w:r>
    </w:p>
    <w:p>
      <w:r>
        <w:rPr>
          <w:b/>
        </w:rPr>
        <w:t>E. 12.3.1</w:t>
      </w:r>
    </w:p>
    <w:p>
      <w:r>
        <w:t>Dans la décision litigieuse, qui détermine le revenu d’invalide en fonction de l’ESS 2018, l’intimée s’est fondée sur la ligne 64-66 du tableau TA1_tirage_skill_level. La recourante fait valoir pour sa part qu’il n’y aurait pas lieu de se baser sur ladite ligne (activités financière et d’assurances), motif pris que la formation dispensée par le CEFCO dans le cadre du reclassement octroyé par l’OAI avait été sanctionnée, en 2017, par un certificat d’aide-comptable qui ne correspondrait pas aux compétences spécialisées auxquelles serait subordonné le revenu médian mentionné à la ligne 64-66.![endif]&gt;![if&gt;</w:t>
      </w:r>
    </w:p>
    <w:p>
      <w:r>
        <w:rPr>
          <w:b/>
        </w:rPr>
        <w:t>E. 12.3.2</w:t>
      </w:r>
    </w:p>
    <w:p>
      <w:r>
        <w:t>La chambre de céans constate que dans un arrêt du 23 août 2012, le Tribunal fédéral a retenu que pour déterminer le revenu d’invalide en fonction de l’ESS, il était possible, à titre exceptionnel, de se référer au salaire d’un seul secteur(« production » ou « services »), voire d’une branche déterminée, lorsque cela paraissait approprié pour tenir compte de la capacité de travail résiduelle exigible dans un cas particulier, notamment pour les personnes qui, avant l’atteinte à la santé, avaient travaillé longtemps dans un secteur déterminé et pour lesquelles un travail dans un autre domaine n’entrait guère en ligne de compte. En application de ces principes, en particulier du caractère exemplatif – illustré par l’adverbe« notamment » – des cas dans lesquels la référence au salaire d’un seul secteur ou d’une branche déterminée était envisageable, le Tribunal fédéral avait considéré, dans le cas d’un assuré qui n’était plus capable d’exercer son activité habituelle de technicien (la seule qu’il ait jamais exercée), que la juridiction cantonale n’avait pas outrepassé son pouvoir d’appréciation en déterminant le revenu d’invalide en fonction du secteur « services », l’office AI étant d’avis que c’était dans le secteur « services » que l’assuré était le mieux à même d’exploiter sa capacité de travail résiduelle (arrêt du Tribunal fédéral 9C_311/2012 du 23 août 2012 consid. 4.1).![endif]&gt;![if&gt; Plus récemment, dans un arrêt qui concernait une assurée ayant bénéficié d’un reclassement au sens de l’art. 17 LAI, qui avait débouché sur l’obtention d’un certificat d’aide-comptable, le Tribunal fédéral a jugé que la référence au salaire statistique d’une branche particulière (en l’occurrence celle des « activités juridiques et comptables » [ligne 69-71 de la table TA1]) ne se justifiait pas dès lors qu’il ne ressortait pas du parcours professionnel de l’assurée concernée qu’avant son atteinte à la santé, celle-ci se serait cantonnée à un seul domaine pendant de nombreuses années. Indépendamment de cet état de fait, qui était suffisant à lui seul pour que l’on ne s’écartât pas de la valeur médiane (« total secteur privé ») de la table TA1, le fait de se référer à la ligne 69-71 de la table TA1 – qui visent des personnes disposant d’un niveau de formation élevé, comme un diplôme de comptable – ne reflétait pas la réelle capacité de gain de l’assurée, qui était simple aide-comptable, mais avait bien plutôt pour effet de la pénaliser sur le plan salarial par rapport aux autres assurés dans une situation comparable. Aussi convenait-il, pour déterminer son revenu avec invalidité, de se fonder sur la valeur médiane (« total secteur privé ») du salaire statistique mentionné dans la table TA1, niveau de compétence 2 (arrêt du Tribunal fédéral 8C_405/2021 du 9 novembre 2021 consid. 5.2).</w:t>
      </w:r>
    </w:p>
    <w:p>
      <w:r>
        <w:rPr>
          <w:b/>
        </w:rPr>
        <w:t>E. 12.3.3</w:t>
      </w:r>
    </w:p>
    <w:p>
      <w:r>
        <w:t>En l’espèce, il ne ressort pas du curriculum vitae versé au dossier (cf. pièces 4 et 23 recourante) qu’avant son accident de juin 1992, la recourante se serait cantonnée à un seul domaine d’activité pendant de nombreuses années puisqu’elle a été d’abord enseignante, puis responsable technique et administrative. Le même constat s’impose à l’examen du parcours professionnel subséquent, précédant la rechute annoncée en août 2012. On recense en effet, par ordre chronologique, les métiers de stagiaire en agronomie, responsable administrative d’un tea-room, assistante administrative d’une station-service, puis auprès de Skyguide Genève et, enfin, de collaboratrice de vente auprès de la Poste. Il s’ensuit que la recourante ne se trouve pas dans la situation particulière dans laquelle elle aurait travaillé de nombreuses années dans le même domaine d’activités avant son atteinte à la santé, respectivement avant la rechute, et où une activité dans un autre domaine n’entrerait pratiquement plus en ligne de compte, conditions pourtant requises pour s’écarter de la valeur médiane (« total secteur privé ») des salaires statistiques et se référer aux salaires mensuels d’un secteur particulier (en l’occurrence le « secteur 3 [services] »), voire d’une branche particulière (en l’occurrence celles des services financiers, activités auxiliaires de services financiers et d’assurances [ligne 64, 66]). Qui plus est, à l’image de ce que le Tribunal fédéral a constaté dans la cause ayant fait l’objet de l’arrêt 8C_405/2021 précité, le reclassement pris en charge par l’OAI n’a pas abouti à la délivrance d’un diplôme de comptable, mais d’un certificat d’aide-comptable. En outre, le revenu mentionné à la ligne 64-66 de la table TA1 est encore supérieur à celui de la ligne 69-71, déjà jugé pénalisant par le Tribunal fédéral dans le même arrêt.![endif]&gt;![if&gt; Cela étant, il n’existe pas de motif de s’écarter de la valeur médiane (« total secteur privé ») résultant, pour une femme, du niveau de compétence 2 du tableau TA1, tirage « skill_level » de l’ESS 2018, étant relevé qu’il n’y avait pas de document plus récent à la date de la décision litigieuse.</w:t>
      </w:r>
    </w:p>
    <w:p>
      <w:r>
        <w:rPr>
          <w:b/>
        </w:rPr>
        <w:t>E. 12.3.4</w:t>
      </w:r>
    </w:p>
    <w:p>
      <w:r>
        <w:t>La recourante soutient par ailleurs que l’abattement accordé sur son revenu d’invalide ne devrait pas être de 10%, mais de 15%, compte tenu des limitations fonctionnelles qui sont les siennes. Ce faisant, elle n’indique pas en quoi l’intimée n’aurait pas tenu compte des limitations fonctionnelles retenues par les experts de SMEX SA, lesquelles se recoupent avec celles mentionnées par l’expert K______ auxquelles elles renvoient. Par ailleurs, c’est à juste titre que d’autres facteurs tels que l’âge (55 ans au moment de l’examen du droit à la rente) ou la nationalité (l’intéressée est Suissesse) ne sont pas invoqués par la recourante, dans la mesure où ceux-ci n’entrent pas en considération. Partant, la décision litigieuse ne prête pas le flanc à la critique en tant qu’elle accorde un abattement de 10% sur le revenu statistique d’invalide.![endif]&gt;![if&gt;</w:t>
      </w:r>
    </w:p>
    <w:p>
      <w:r>
        <w:rPr>
          <w:b/>
        </w:rPr>
        <w:t>E. 12.3.5</w:t>
      </w:r>
    </w:p>
    <w:p>
      <w:r>
        <w:t>Cela étant précisé, il convient de déterminer le degré d’invalidité de la manière suivante : en se référant à l’ESS 2018, soit à la table TA1 (tirage « skill level »), secteur privé, ligne « total », une femme pouvait réaliser, en 2018, un revenu de CHF 4’849.- par mois (soit CHF 58’188.- par année) dans une activité de niveau 2. En tenant compte de la durée normale du travail, s’élevant à 41.7h en 2019, le revenu d’invalide est de CHF 60’661.- par année (soit 58’188 x 41.7 / 40). L’indexation de ce revenu à 2019, selon l’ISS (+ 0,9%), permet d’aboutir à un revenu avec invalidité de CHF 61'207.- en chiffres arrondis, respectivement CHF 55’086.- en tenant compte de l’abattement de 10%.![endif]&gt;![if&gt; En comparant le revenu d'invalide au revenu sans invalidité réalisé en qualité d’employée de la Poste en 2015 (CHF 75’708.60 pour un plein temps), indexé à 2019 selon l’ISS (+2,6%), soit CHF 77'677.-, la perte de gain s’établit à CHF 22'591.- et le degré d’invalidité à 29% [(77'677–55’086) x 100 / 77'677 = 29%].</w:t>
      </w:r>
    </w:p>
    <w:p>
      <w:r>
        <w:rPr>
          <w:b/>
        </w:rPr>
        <w:t>E. 12.3.6</w:t>
      </w:r>
    </w:p>
    <w:p>
      <w:r>
        <w:t>Ainsi, dès le 11 mars 2019, la recourante peut bénéficier d'une rente d'invalidité de l'assurance-accidents de 29%.![endif]&gt;![if&gt;</w:t>
      </w:r>
    </w:p>
    <w:p>
      <w:r>
        <w:rPr>
          <w:b/>
        </w:rPr>
        <w:t>E. 12.4</w:t>
      </w:r>
    </w:p>
    <w:p>
      <w:r>
        <w:t>En février 2020, la situation économique de la recourante s'est modifiée, puisqu'elle a été engagée à l'État de Genève à 50%.![endif]&gt;![if&gt;</w:t>
      </w:r>
    </w:p>
    <w:p>
      <w:r>
        <w:rPr>
          <w:b/>
        </w:rPr>
        <w:t>E. 12.4.1</w:t>
      </w:r>
    </w:p>
    <w:p>
      <w:r>
        <w:t>Aux termes de l'art. 17 al. 1 LPGA, dans sa teneur valable jusqu'au 31 décembre 2021, si le taux d'invalidité du bénéficiaire de la rente subit une modification notable, la rente est, d'office ou sur demande, révisée pour l'avenir, à savoir augmentée ou réduite en conséquence, voire supprimée.![endif]&gt;![if&gt; Cela étant, il convient d'examiner s'il faut prendre en considération la modification de la situation économique de la recourante dès février 2020, étant précisé que cette modification doit être considérée comme notable au vu du salaire réalisé.</w:t>
      </w:r>
    </w:p>
    <w:p>
      <w:r>
        <w:rPr>
          <w:b/>
        </w:rPr>
        <w:t>E. 12.4.2</w:t>
      </w:r>
    </w:p>
    <w:p>
      <w:r>
        <w:t>Il ressort des fiches de salaires versées au dossier que la recourante a réalisé, du 1 er février au 31 décembre 2020, un revenu de CHF 37’115.10, ce qui correspond, sur douze mois, à CHF 40’489.20 pour un 50%, respectivement CHF 6’748.20 par mois pour un travail à plein temps. Ce revenu est resté stable jusqu’à la décision litigieuse, prise en 2021 (CHF 40’489.20 annuels). Cette stabilité concerne également l’emploi en tant que tel puisqu’après un stage accompli en 2019, ayant débouché en 2020 sur un poste de commise administrative 4, la recourante était toujours employée par l’État de Genève, que ce soit au moment de la comparaison des revenus (2020) ou au moment de la décision litigieuse en 2021.![endif]&gt;![if&gt; On rappellera à cet égard que si un assuré ne bénéficie pas d’une place de travail mieux rémunérée que la moyenne statistique correspondante – et pour lequel le maintien de l’activité actuelle à temps partiel n’est dès lors pas justifié, faute de mise en valeur de la capacité de travail résiduelle –, il convient de déterminer l’ensemble du revenu d’invalide sur la base des données statistiques de l’ESS (cf. ci-dessus : consid. 8.4.2). En l’espèce, le revenu de CHF 6’748.20 par mois (pour un plein temps) que la recourante réalise auprès de l’État de Genève est plus important que le revenu statistique médian pour des activités comparables selon le tableau TA1, tirage « skill_level » 2018, qu’il s’agisse d’activités de services administratifs de niveau 2 (ligne 77, 79-82) ou d’activités de niveau 2 tous secteurs confondus (production et services). Dans ces conditions, il apparaît justifié, compte tenu de la jurisprudence citée, de déterminer le revenu d’invalide pour partie (50%) sur la base du revenu réalisé en tant que commise administrative 4 en 2020 et, pour les 50% restants, qui sont médicalement exigibles, sur la base de l’ESS. En revanche, une prise en compte supérieure au taux de l’activité de commise administrative (50%) ne se justifie puisque la possibilité d’exercer ce même emploi à un taux majoré (60%) ne s’est présentée qu’au 1 er janvier 2022.</w:t>
      </w:r>
    </w:p>
    <w:p>
      <w:r>
        <w:rPr>
          <w:b/>
        </w:rPr>
        <w:t>E. 12.4.3</w:t>
      </w:r>
    </w:p>
    <w:p>
      <w:r>
        <w:t>Il reste à déterminer le revenu statistique sur lequel il convient de se baser pour le 50% restant.![endif]&gt;![if&gt; Comme relevé ci-dessus, le salaire annuel d'une femme en 2018 dans une activité de bureau de niveau 2 était de CHF 60’661.-, en tenant compte de la durée normale du travail. Après indexation du salaire à 2020, le revenu d'invalide s'établit à CHF 61'815.60, respectivement à CHF 55'634.- après l'abattement de 10%. Ce dernier montant doit être pris en compte à 50% (CHF 27’817.-) et majoré du revenu de commise administrative réalisé en 2020 (CHF 40’489.20), ce qui correspond à un revenu d’invalide de CHF 68’306.20. En comparant le gain d'invalide au revenu sans invalidité réalisé en qualité d’employée de la Poste en 2015 (CHF 75’708.60 pour un plein temps), indexé à 2020 selon l’ISS (CHF 78’471.-, soit 75’708.60 x 2’784 / 2’686), la perte de gain s’établit à CHF 10’164.80 et le degré d’invalidité à 13% [(78’471 – 68’306.20) x 100 / 78’471 = 12.95%, arrondi à 13%].</w:t>
      </w:r>
    </w:p>
    <w:p>
      <w:r>
        <w:rPr>
          <w:b/>
        </w:rPr>
        <w:t>E. 12.4.4</w:t>
      </w:r>
    </w:p>
    <w:p>
      <w:r>
        <w:t>Par conséquent, la rente doit être réduite dès février 2020 à 13%. ![endif]&gt;![if&gt;</w:t>
      </w:r>
    </w:p>
    <w:p>
      <w:r>
        <w:rPr>
          <w:b/>
        </w:rPr>
        <w:t>E. 12.5</w:t>
      </w:r>
    </w:p>
    <w:p>
      <w:r>
        <w:t>Se pose encore la question de savoir si au vu des renseignements donnés à l’audience du 9 mai 2023 par la recourante, une nouvelle révision du taux de la rente doit être effectuée dans la présente procédure.![endif]&gt;![if&gt; En effet, la recourante a déclaré qu’elle travaillait au taux de 60% depuis le 1 er janvier 2022. Toutefois, dans la mesure où ce changement est intervenu après la décision litigieuse, il incombera à l’intimée d'ouvrir le cas échéant une procédure de révision du taux de la rente.</w:t>
      </w:r>
    </w:p>
    <w:p>
      <w:r>
        <w:rPr>
          <w:b/>
        </w:rPr>
        <w:t>E. 13</w:t>
      </w:r>
    </w:p>
    <w:p>
      <w:r>
        <w:t>Reste à examiner le taux de l’IPAI.![endif]&gt;![if&gt;</w:t>
      </w:r>
    </w:p>
    <w:p>
      <w:r>
        <w:rPr>
          <w:b/>
        </w:rPr>
        <w:t>E. 13.1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![endif]&gt;![if&gt;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 consid. 2.3;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 n. 317).</w:t>
      </w:r>
    </w:p>
    <w:p>
      <w:r>
        <w:rPr>
          <w:b/>
        </w:rPr>
        <w:t>E. 13.2</w:t>
      </w:r>
    </w:p>
    <w:p>
      <w:r>
        <w:t>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4.cc ; 116 V 156 consid. 3).</w:t>
      </w:r>
    </w:p>
    <w:p>
      <w:r>
        <w:rPr>
          <w:b/>
        </w:rPr>
        <w:t>E. 13.3</w:t>
      </w:r>
    </w:p>
    <w:p>
      <w:r>
        <w:t>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3b).![endif]&gt;![if&gt;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14</w:t>
      </w:r>
    </w:p>
    <w:p>
      <w:r>
        <w:t>![endif]&gt;![if&gt;</w:t>
      </w:r>
    </w:p>
    <w:p>
      <w:r>
        <w:rPr>
          <w:b/>
        </w:rPr>
        <w:t>E. 14.1</w:t>
      </w:r>
    </w:p>
    <w:p>
      <w:r>
        <w:t>En l’espèce, il ressort du dossier qu’à la suite de l’accident du 26 juin 1992, la recourante a présenté, selon les constatations du Dr C______, médecin-conseil de l’intimée, une algoneurodystrophie du calcanéum. Sachant par ailleurs que le Dr B______, consulté par la recourante à cette époque, a relevé en mars 1999 que l’intéressée présentait, déjà avant l’accident, une hyperlordose lombaire avec rétrolysthésis L5/S1 qui avait pu être décompensée par l’accident et nécessitait, selon lui, quelques séances de physiothérapie/posturologie, le Dr C______ a conclu dans son rapport du 30 janvier 2001 qu’il n’existait pas de lien de causalité entre les lombosacralgies et l’accident, mais que cet événement était responsable des douleurs résiduelles de l’arrière-pied droit, après le traitement chirurgical d’une tendinite post-traumatique subi en 1994, et justifiait que l’on fixe à 6% le taux de l’IPAI, motif pris que cela correspondait, selon son appréciation, à 1/5 de la perte totale du pied selon la table 4 de la SUVA.![endif]&gt;![if&gt; Fondée sur le rapport du 30 janvier 2001 du Dr C______, la décision du 6 mars 2001 de l’intimée, octroyant une IPAI de 6% à la recourante, n’a pas été contestée et est entrée en force. À la suite de la rechute annoncée à l’intimée en août 2012, les examens effectués ont révélé que la recourante présentait, outre une tendinite insertionnelle du tendon d’Achille droit (cf. rapport du 10 mars 2015 du Dr E______), un état dégénératif modéré de la colonne lombaire (cf. rapport du 12 décembre 2014 de la Dresse R______). On relève également qu’avant que la recourante se soumette à une deuxième révision chirurgicale de sa tendinite insertionnelle post-traumatique du tendon d’Achille droit (effectuée le 18 juin 2015 par le Dr E______), le rapport d’expertise rendu le 1 er mai 2015 par le Dr F______ qualifiait de « hautement probable » le lien de causalité entre le diagnostic d’insertionite chronique post-traumatique du tendon d’Achille droit et l’accident du 26 juin 1992, mais « d’au maximum possible » le lien de causalité entre les douleurs rétro-trochantériennes et rachidiennes et cet accident, ces douleurs correspondant à une atteinte de type lombosciatique banale sans déficit neurologique. De même, les douleurs sus-jacentes du genou – qui correspondaient peut-être à une atteinte dégénérative du compartiment interne – étaient en relation de causalité tout au plus possible avec l’accident aux dires de l’expert. À noter que dans leurs rapports datés respectivement du 5 mars et du 3 mai 2018, soit trois ans après l’expertise du Dr F______, les Dr E______ respectivement I______, sont parvenus à la conclusion qu’au vu des résultats de l’IRM de la colonne lombaire effectuée le 17 octobre 2017, il n’existait pas d’explications à l’appui des plaintes de la recourante (douleurs dans la jambe et le pied, fourmillement au niveau de la région lombaire basse et dans le membre inférieur droit et gonalgies). Il ressort enfin du rapport du 21 novembre 2020, sur lequel se fonde la décision litigieuse, qu’au vu de l’évolution défavorable survenue depuis 2001, il convient de retenir, en application de la table 4 de la SUVA, un état équivalant à 2/5 de la perte d’un pied, justifiant un taux global d’IPAI de 12% (contre 6% en 2001).</w:t>
      </w:r>
    </w:p>
    <w:p>
      <w:r>
        <w:rPr>
          <w:b/>
        </w:rPr>
        <w:t>E. 14.2</w:t>
      </w:r>
    </w:p>
    <w:p>
      <w:r>
        <w:t>En ce qui concerne l’atteinte à l’intégrité résultant de la perte d’un ou plusieurs segments des membres inférieurs, la table 4 de la SUVA, comporte un barème prévoyant une IPAI de 5% (perte de plusieurs phalanges du gros orteil) à 50% maximum pour la perte complète d’une jambe. Quant à la perte de tout le pied, elle est évaluée à 30%. Au vu de cette gradation, il tombe par conséquent sous le sens qu’en présence d’une atteinte évaluée initialement à 1/5 de la perte totale d’un pied par le Dr C______ et de l’évolution défavorable survenue depuis 2001, correspondant à 2/5 de la perte d’un pied selon le Dr Q______, ce médecin ait fixé à 12% (soit 2 x 30 / 5) le taux de l’atteinte, ouvrant ainsi la voie à la révision de la décision du 6 mars 2001 (ci-dessus : consid. 11.3.2) et à un paiement complémentaire de CHF 5’832.- (soit CHF 11’664.-, représentant 12% du gain assuré de CHF 97’200.-, sous déduction de CHF 5’832.- déjà versés en 2001). ![endif]&gt;![if&gt; La recourante soutient qu’en fixant l’aggravation de l’atteinte à seulement 6% sans tenir compte des répercussions du traumatisme au pied droit sur tout le membre inférieur droit et la région lombaire, le Dr Q______ aurait sous-évalué cette aggravation qui justifierait, selon elle, un taux global d’IPAI qui ne saurait être inférieur à 30%. La recourante ne saurait être suivie, dans la mesure où l’expert orthopédiste F______ a constaté déjà en 2015 que le lien de causalité entre l’accident du 26 juin 1992 et les douleurs rétro-trochantériennes et rachidiennes – correspondant, selon l’expert, à une atteinte de type lombosciatique banale sans déficit neurologique – était tout au plus possible. Dans la mesure où l’expertise de ce médecin a été rendue en pleine connaissance du dossier, qu’elle comporte une anamnèse, tient compte des plaintes de l’expertisée et que ses conclusions sont claires et bien motivées, il convient en principe de ne pas s’en écarter. La recourante relève que, selon le rapport du 1 er novembre 2018 du Dr J______, « elle présente une douleur chronique dans le pied droit, post-traumatique, avec également une douleur ascendante dans le membre inférieur droit et dans la région paravertébrale droite jusqu’au niveau cervical, bien que la douleur principale soit au niveau du pied lui-même [ ]. Je la rassure donc en lui expliquant que l’origine de ses douleurs est à mettre sur le compte d’un déséquilibre consécutif à sa boiterie, bien entendu consécutif au traumatisme du pied, et qu’il n’y a pas d’indication à répéter aujourd’hui d’imagerie lombaire ni de traitement spécifique rachidien ». La chambre de céans constate que le rapport précité du Dr J______, de même que celui du 2 octobre 2020 du Dr G______, se bornent en définitive à affirmer que la cause première des douleurs – comprenant celles situées ailleurs que dans le pied – serait l’accident du 26 juin 1992. Ce faisant, ces médecins n’expliquent pas en quoi l’expert F______ aurait ignoré un élément objectivement vérifiable en retenant, dans son rapport du 1 er mai 2015, que le lien de causalité entre cet accident et les douleurs rétro-trochantériennes et rachidiennes serait possible tout au plus. En second lieu, les Drs J______ et G______ – à l’instar des autres médecins dont la recourante sollicite l’audition – n’expliquent pas non plus en quoi les douleurs à la jambe et au dos alléguées, par ailleurs dépourvues de substrat organique objectivable (cf. ci-dessus : consid. 12.4.1), refléteraient une atteinte à l’intégrité portée à des parties du corps autres que le pied droit. S’agissant enfin des événements récents relatés par courriers des 5 et 23 mai 2023 (une chute le 13 novembre 2022 et une autre chute, plus récemment encore), ils ne sauraient être pris en compte dès lors que le juge appelé à connaître de la légalité d’une décision rendue par les organes de l’assurance sociale doit apprécier l’état de fait déterminant existant au moment où la décision sur opposition litigieuse a été rendue (ATF 121 V 366 consid. 1b ; 131 V 407 consid. 2.1.2.1).</w:t>
      </w:r>
    </w:p>
    <w:p>
      <w:r>
        <w:rPr>
          <w:b/>
        </w:rPr>
        <w:t>E. 14.3</w:t>
      </w:r>
    </w:p>
    <w:p>
      <w:r>
        <w:t>Au vu de ces éléments, la chambre de céans se dispensera d’entendre les médecins dont l’audition est demandée par la recourante, considérant qu'il est établi, au degré de la vraisemblance prépondérante, que l’accident du 26 juin 1992 a causé une atteinte à l’intégrité du pied droit, dont l’ampleur a été correctement évaluée à 12% suite à l’aggravation intervenue à compter de 2001. ![endif]&gt;![if&gt;</w:t>
      </w:r>
    </w:p>
    <w:p>
      <w:r>
        <w:rPr>
          <w:b/>
        </w:rPr>
        <w:t>E. 15</w:t>
      </w:r>
    </w:p>
    <w:p>
      <w:r>
        <w:t>Par conséquent, le recours sera partiellement admis et la décision sur opposition du 22 octobre 2021 réformée, en ce sens que la recourante a droit à une rente d’invalidité de 29% dès le 11 mars 2019 et de 13% à compter du 1 er février 2020. ![endif]&gt;![if&gt;</w:t>
      </w:r>
    </w:p>
    <w:p>
      <w:r>
        <w:rPr>
          <w:b/>
        </w:rPr>
        <w:t>E. 16</w:t>
      </w:r>
    </w:p>
    <w:p>
      <w:r>
        <w:t>Étant donné que la recourante obtient partiellement gain de cause, une indemnité de CHF 2’500.- lui sera accordée à titre de participation à ses frais et dépens, à charge de l’intimée (art. 61 let. g LPA ; art. 89H al. 3 LPA ; art. 6 du règlement sur les frais, émoluments et indemnités en procédure administrative du 30 juillet 1986 – RFPA ; RS E 5.10.03).![endif]&gt;![if&gt;</w:t>
      </w:r>
    </w:p>
    <w:p>
      <w:r>
        <w:rPr>
          <w:b/>
        </w:rPr>
        <w:t>E. 17</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