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A/4054/2018 vom 11. Juni 2019</w:t>
      </w:r>
    </w:p>
    <w:p>
      <w:r>
        <w:t>GE Cour de justice, 2019-06-11, FR</w:t>
      </w:r>
    </w:p>
    <w:p>
      <w:r>
        <w:rPr>
          <w:b/>
        </w:rPr>
        <w:t xml:space="preserve">Quelle: </w:t>
      </w:r>
      <w:r>
        <w:t>https://mcp.opencaselaw.ch/entscheid/ge_gerichte_A_4054_2018</w:t>
      </w:r>
    </w:p>
    <w:p>
      <w:r>
        <w:t>FR: GE_GERICHTE A/4054/2018 du 11 juin 2019</w:t>
      </w:r>
    </w:p>
    <w:p>
      <w:r>
        <w:t>IT: GE_GERICHTE A/4054/2018 del 11 giugno 2019</w:t>
      </w:r>
    </w:p>
    <w:p>
      <w:pPr>
        <w:pStyle w:val="Heading2"/>
      </w:pPr>
      <w:r>
        <w:t>Erwägungen</w:t>
      </w:r>
    </w:p>
    <w:p>
      <w:r>
        <w:rPr>
          <w:b/>
        </w:rPr>
        <w:t>E. 2</w:t>
      </w:r>
    </w:p>
    <w:p>
      <w:r>
        <w:t>, était sise en zone à bâtir et pouvait faire l'objet d'options d'aménagement permettant sa valorisation, comme le démontrait une étude commanditée par la propriétaire estimant une telle valorisation à approximativement CHF 15'000'000.-. Une inscription à l'inventaire de la propriété serait par conséquent disproportionnée face à l'intérêt économique de la propriétaire. 11) Le 20 juillet 2016, la SCMA a rendu un préavis confirmant celui du 16 juillet 2014. Elle avait été consultée par les architectes mandatés par la propriétaire avec un projet de réaménagement des deux bâtiments, et un projet pour la construction d'un immeuble d'un étage sur rez-de-chaussée et attique, comprenant 23 logements. À la même occasion, une étude patrimoniale, réalisée par un historien de l'art et de l'architecture a été présentée à la CMNS. La SCMA a préavisé défavorablement le projet de nouvel immeuble. Ce projet était disproportionné et avait une forte incidence sur le jardin et la villa. Cependant, la commission serait favorable au développement d'un nouveau projet avec une implantation de deux villas, également au fond du jardin qui s'intégrerait au tissu d'habitat de villas et permettrait de laisser libres les vues depuis la maison de maître. Ces constructions devraient présenter un aspect moins important, tant dans leur programme, leur volume et leur gabarit, et plus en accord avec le type de constructions du périmètre. S'agissant du réaménagement de la maison de maître en deux appartements, celui-ci engendrerait une perte irréversible des qualités de la maison. La commission demandait, dès lors, que la villa conserve son affectation monofamiliale et fasse l'objet de travaux en adéquation avec sa valeur patrimoniale. Enfin, concernant la dépendance, la commission demandait à pouvoir visiter les lieux avant de se prononcer. 12) Par arrêté du 18 octobre 2018, le conseiller d'État chargé du département a décidé d'inscrire à l'inventaire des immeubles dignes d'être protégés les bâtiments n° 3______ (villa), 4______ (dépendance), le portail d'entrée et la parcelle n° 1______, feuille 23 du cadastre de la commune de B______, qui devait faire l'objet d'une mention au registre foncier. En vertu de la jurisprudence, les conceptions en matière de protection du patrimoine moderne avaient évolué en ce sens que, si les mesures de classement visaient à l'origine essentiellement des monuments historiques, tels les édifices publics, civils ou religieux, ces mesures s'étaient peu à peu étendues à des immeubles ou à des objets plus modestes, qualifiés de patrimoine dit mineur, tels des objets caractéristiques de la campagne genevoise ou des réalisations architecturales appartenant au patrimoine hérité du XIX e siècle ou d'une époque plus récente. Il ressortait des pièces du dossier que la villa n° 3______, construite en 1893 sur la commande de D______ et sise sur une propriété comprenant également une dépendance (n° 4______) offrait des qualités architecturales remarquables marquant une période de transition entre classicisme et Heimatstil. La villa représentait un témoin de l'urbanisation péri-urbaine consécutive à la mise en place des réseaux énergétiques et de transports et demeurait en excellent état de conservation, les différents aménagements réalisés au fil du temps n'ayant pas altéré sa substance patrimoniale. Le bâtiment bénéficiait, par ailleurs, d'une intégration remarquable dans un parc qui permettait sa mise en valeur, notamment par les dégagements visuels depuis la maison. La dépendance, destinée au jardinier, complétait quant à elle harmonieusement le bâtiment principal, dans la tradition bourgeoise. 13) Par acte du 19 novembre 2018, la propriétaire a interjeté recours contre la décision précitée auprès de la chambre administrative de la Cour de justice (ci-après : la chambre administrative), concluant principalement à son annulation et subsidiairement à ce que l'inscription à l'inventaire soit limitée à la maison de maître uniquement. Elle a par ailleurs demandé à ce que soient ordonnés un transport sur place, une expertise de la valeur patrimoniale de la villa et de la dépendance, ainsi qu'une audience de comparution personnelle des parties. La maison de maître avait subi de nombreux changements et adjonctions au fil des années, de sorte que l'objet pris dans son ensemble ne présentait pas d'intérêt patrimonial particulier. S'agissant de la dépendance, la SCMA n'avait pas jugé utile de visiter ce bâtiment, se contentant de dire qu'elle complétait harmonieusement le bâtiment principal. Il n'y avait aucune indication dans le dossier que ce bâtiment présentait une éventuelle qualité architecturale. Au sujet du portail d'entrée, il avait été édifié dans la seconde moitié du XX e siècle, et n'avait ainsi pas le même intérêt patrimonial que la maison de maître. Quant au jardin à la française, celui-ci datait des années 1960, de sorte qu'une mesure de conservation était totalement infondée. Tous ces bâtiments ne faisaient par conséquent pas partie d'une unité architecturale qui mériterait que la parcelle dans son ensemble soit protégée. L'autorité intimée avait violé le principe de la proportionnalité en inscrivant toute la parcelle à l'inventaire, ce d'autant plus que le jardin actuel était relativement récent et n'avait pas de valeur historique. De plus, le projet de construction envisagé par la propriétaire avait précisément pour but de permettre la conservation de la maison de maître, tout en valorisant une partie de la parcelle. Enfin, aucune justification n'avait été fournie par l'OPS pour motiver cette mesure excessive qui apparaissait comme une restriction de la propriété inadmissible. 14) Le 21 janvier 2019, le département a déposé ses observations, concluant au rejet du recours. La CMNS, dans ses préavis favorables des 16 juillet 2014 et 20 juillet 2016, avait considéré que la villa était digne de protection, sachant que cette dernière avait déjà fait l'objet de travaux d'importances diverses et que les espaces intérieurs avaient été aménagés avec soin dans la deuxième partie du XX e siècle. C'était en toute connaissance de cause que la commission avait confirmé que la mise sous protection de la maison de maître se justifiait en dépit des divers aménagements, l'immeuble demeurant en excellent état et ayant conservé sa substance patrimoniale. L'autorité intimée était parfaitement fondée à suivre le préavis de la CMNS, composée de spécialistes aptes à émettre un jugement dépourvu de subjectivisme et de considérations étrangères aux buts de protection fixés par la loi. S'agissant de la dépendance, celle-ci, bien que ne présentant pas un caractère exceptionnel, formait avec la maison de maître, une composition historique remarquable et méritait une protection au titre du patrimoine de ce fait-là. Il ressortait du rapport de visite que la parcelle n° 1______ constituait un parc d'une grande qualité paysagère, dans lequel les bâtiments étaient bien intégrés et qui faisaient partie du domaine historique. Le bow-window de la villa, surmonté d'une terrasse, était orienté sur la partie du parc aménagée en jardin à la française et permettait d'y accéder, par de larges arches en pierre. Cet espace offrait une ouverture visuelle particulièrement remarquable sur les espaces extérieurs richement arborés et devait être préservé pour ces raisons. Il en allait de même depuis le parc, où la végétation ménageait un dégagement visuel sur la maison de maître. Le recensement ICOMOS, auquel le jardin était inscrit, fournissait des indications précieuses sur la valeur conférée au jardin au titre de patrimoine et confirmait ses qualités dignes de protection. L'ensemble de ces éléments était suffisant pour démontrer que l'inscription de l'intégralité de la parcelle à l'inventaire répondait à l'intérêt public de la protection d'un patrimoine bâti digne d'intérêt. Par ailleurs, le fait que la propriétaire ne pouvait librement disposer de son bien et devait consulter la CMNS pour tout projet ne pouvait pas être considéré comme une entrave insupportable à la garantie de la propriété. La décision du département ne violait ainsi pas le principe de la proportionnalité. 15) Le 25 février 2019, le juge délégué a effectué un transport sur place, en présence des parties et de leurs conseils. Il a alors constaté la présence de nombreux éléments d'origine aux rez-de-chaussée de la villa. La plupart des pièces à ce niveau avait conservé leurs décors et leurs parquets ainsi que certaines moulures d'origine. Certains éléments nouveaux avaient également été ajoutés à ceux initialement présents, notamment dans les années 50, lors de l'acquisition de la propriété par la famille A______. La cuisine quant à elle, avait été refaite dans les années 1970 dans un style de l'époque. Les pièces du premier étage étaient dans un style globalement plus simple. Il y avait eu des interventions tendant à enrichir le décor. Un lustre en verre de Murano, datant des années 1970 avait été commandé spécifiquement pour la villa et installé au-dessus de l'escalier. Depuis le balcon au-dessus du bow-window, il était possible d'observer la structure des jardins à la française et la riche végétation entourant le parc. Les combles de la maison avaient été complètement refaits et aucun élément d'origine ne subsistait à cet étage. À l'extérieur, le juge délégué a observé que la marquise au-dessus de la porte d'entrée était d'origine. Les grilles et le portail avaient été achetés en France et provenaient d'un château en démolition. La dépendance avait été transformée en habitations dans les années 40 et 50 et ne présentait pas d'éléments extraordinaires remarquables. Ce bâtiment avait été agrandi et la dernière pièce du nouvel espace pourrait constituer un studio indépendant. 16) Aux termes du transport sur place, les parties ont persisté dans leurs conclusions respectives. 17) Sur ce, le juge délégué a informé les parties 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recourante sollicite une expertise de l'état des bâtiments n° 3______ et 4______ portant sur leur valeur patrimoniale, un transport sur place et la comparution personnelle des parties.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arrêts du Tribunal fédéral 2C_1060/2016 du 13 juin 2017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arrêts du Tribunal fédéral 2C_980/2016 du 7 mars 2017 consid. 2.2.1. ; ATA/1111/2017 du 18 juillet 2017). c. Le dossier contient plusieurs documents descriptifs des bâtiments et de la parcelle, notamment un rapport de visite du SMS datant de mai 2014 et détaillant l'intérêt de ces objets sous l'angle de la protection du patrimoine. Par ailleurs, le juge délégué a procédé à un transport sur place qui a permis de constater les spécificités des bâtiments et de la parcelle ainsi que leur valeur architecturale. À cette occasion, les parties ont pu s'exprimer et émettre leurs observations complémentaires. Le dossier est par conséquent complet et la chambre administrative, disposant des éléments nécessaires pour statuer en connaissance de cause, il ne sera pas donné suite aux demandes d'expertise et d'audience de comparution personnelle de la recourante. 3) L'assujettissement d'un immeuble à des mesures de conservation ou de protection du patrimoine naturel ou bâti constitue une restriction du droit de propriété garanti par l'art. 26 al. 1 Cst.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4) a. Conformément à l'art. 4 de la loi sur la protection des monuments, de la nature et des sites du 4 juin 1976 (LPMNS - L 4 05),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b. Un monument au sens de la LPMNS est toujours un ouvrage, fruit d'une activité humaine. Tout monument doit être une oeuvre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ATA/1068/2016 du 20 décembre 2016 consid. 5b ; ATA/1214/2015 du 10 novembre 2015 consid. 4b ; ATA/721/2012 précité et les références citées). 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oeuvres modestes qui ont acquis avec le temps une signification culturelle (art. 1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ATA/1068/2016 précité consid. 5d ; ATA/1214/2015 précité consid. 4d ; ATA/721/2012 précité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5)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ATA/721/2012 précité et les références citées). b. Chaque fois que l'autorité administrative suit les préavis des instances consultatives, l'autorité de recours observe une certaine retenue, fonction de son aptitude à trancher le litige ( ATA/1214/2015 précité et les références citées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ATA/1214/2015 précité ; ATA/126/2013 du 26 février 2013 ; ATA/549/2011 du 30 août 2011). La chambre est en revanche libre d'exercer son propre pouvoir d'examen lorsqu'elle procède elle-même à des mesures d'instruction, à l'instar d'un transport sur place ( ATA/699/2015 du 30 juin 2015). c. Si la consultation de la CMNS est imposée par la loi, le préavis de cette commission a un poids certain dans l'appréciation qu'est amenée à effectuer l'autorité de recours (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 À ce titre, son préavis est important ( ATA/1214/2015 précité). 6) a. En l'espèce, les experts du SMS et ceux de la CMNS ont relevé l'intérêt de la maison de maître au niveau local, ses qualités architecturales et son caractère représentatif d'un mouvement artistique. Ils ont tenu compte du fait que la villa, construite en 1893 pour le compte de D______, avait fait l'objet de travaux et avait été réaménagée dans la deuxième moitié du XX e siècle et ont ainsi confirmé, en toute connaissance de cause, que la protection de la maison se justifiait en dépit des aménagements réalisés, l'immeuble demeurant en excellent état et ayant conservé sa substance patrimoniale. Les éléments mis en avant par les spécialistes ont pu être confirmés lors du transport sur place, durant lequel le juge délégué a constaté la présence de nombreux éléments d'origine tant à l'intérieur qu'à l'extérieur de la villa. Bien que certaines parties eussent été réaménagées au fil des années, l'ensemble de la villa conservait un grand intérêt patrimonial et architectural, témoin d'une époque et un style passés. Pour toutes ces raisons, une inscription à l'inventaire de la villa (n° 3______) est justifiée. Il convient par ailleurs de suivre le raisonnement de la SCMA, en tant qu'il préconise une affectation monofamiliale. En effet, des travaux de réaménagement de la villa en deux appartements risqueraient de détruire les éléments d'origine encore présents et qui se situent pour la majorité au rez-de-chaussée de la villa. b. En ce qui concerne la dépendance (n° 4______), celle-ci était habituellement destinée au jardinier dans la tradition bourgeoise. Cependant, le bâtiment ne présente pas de caractéristiques particulières méritant une mesure de protection. Il a été prolongé d'un tiers durant les années 1970 afin d'ajouter une salle de bains dans les chambres. Durant le transport sur place, le juge délégué a pu constater que l'intérieur de la dépendance avait été transformé dans les années 1940 et 1950. Par ailleurs, ni l'intérieur, ni l'extérieur de ce bâtiment ne présentaient d'éléments extraordinaires ou remarquables. Partant, de par le manque d'éléments spécifiques méritant une protection, une inscription à l'inventaire du bâtiment de la dépendance (n° 4______) ne se justifie pas. c. S'agissant du jardin à la française, il a été conçu dans les années 60 et n'est donc pas d'origine. Le jardin semble cependant avoir été soigneusement conçu et participe, de manière cohérente et harmonieuse, à la qualité de l'ensemble et principalement à la qualité des abords de la maison de maître. Le jardin offre par ailleurs de remarquables points de vue sur la maison de maître. Tant le rapport de visite du SMS que le transport sur place ont permis de constater l'ouverture visuelle particulièrement remarquable sur les espaces extérieurs richement arborés depuis le balcon au-dessus du bow-window de la villa. Le jardin est par ailleurs dans le recensement ICOMOS des parcs et jardins historiques de Suisse. Une mesure d'inscription à l'inventaire du parc n'exclut pas, contrairement à une mesure de classement, que la propriétaire puisse construire sur la parcelle. Il faut cependant, comme le confirme le préavis de la CMNS, privilégier des constructions plus modestes que le projet figurant au dossier, sur le fond ou les côtés de la parcelle de sorte à préserver les dégagements depuis la villa et laisser celle-ci respirer. Par conséquent, malgré sa création relativement récente, l'autorité intimée a eu raison d'inscrire la parcelle n° 1______ à l'inventaire, le jardin contribuant à l'harmonie et à la qualité de l'ensemble de la parcelle. d. Enfin, il n'est pas contesté que le portail d'entrée a été installé à la fin des années 1950. Toutefois, cet objet a été conçu et réalisé avec grand soin et s'intègre de façon particulièrement élégante dans le domaine. Le côté aéré et transparent de l'installation participe ainsi à la qualité de l'ensemble du domaine, de sorte que c'est à juste titre qu'il a été intégré à la mesure de protection. e. À ce stade et sous réserve de l'analyse du principe de la proportionnalité ci-dessous, il convient de suivre l'appréciation faite par le département, s'appuyant sur celle de la CMNS et sur les constatations du SMS : le bâtiment n° 3______, la parcelle n° 1______ et le portail d'entrée constituent des objets dignes de protection au sens de l'art. 4 LPMNS. En revanche, une mesure de protection du bâtiment n° 4______ ne se justifie pas. 7) La recourante reproche à l'autorité intimée d'avoir violé le principe de la proportionnalité.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(cf. ATF 126 I 219 consid. 6c in fine et consid. 6h ; arrêts du Tribunal fédéral 1C_52/2016 précité consid. 2 ; 1P.842/2005 du 30 novembre 2006 consid. 2.4).Il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8) a. Depuis la modification de la LPMNS, entrée en vigueur le 20 octobre 2000, la mise à l'inventaire entraîne l'obligation de maintenir les immeubles et d'en préserver les éléments dignes d'intérêt (art. 9 al. 1 1 ère phr. LPMNS). L'art. 90 al.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 ème phr. LPMNS). Restent réservés les cas d'intérêt public (art. 9 al. 1 3 ème phr. LPMNS).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9) En l'espèce, l'inscription à l'inventaire est la mesure individuelle la moins contraignante prévue par la LPMNS, de sorte que la protection de la villa, du portail et de la parcelle n° 1______ ne peut être assurée par un moyen moins incisif. En outre, aucune autre mesure ne permettrait d'assurer que la CMNS pourra intervenir dans le cadre d'un futur projet et se déterminer sur la compatibilité de celui-ci avec les objectifs de sauvegarde du patrimoine. Contrairement à ce que soutient la recourante, il n'y a pas de violation de son droit de propriété. Le seul fait qu'elle ne puisse disposer librement de son bien et doive consulter la CMNS pour tout projet ne peut être considéré comme une entrave insupportable à la garantie de la propriété. En effet, la parcelle n'a pas été frappée d'une interdiction totale de bâtir. Au contraire, la CNMS s'est déclarée favorable à l'implantation de deux villas au fond du jardin qui s'intégreraient dans le tissu de villas sans porter atteinte au jardin ni aux vues depuis la maison de maître. Cette approche permettrait de maintenir les dégagements nécessaires à la mise en valeur de la villa, tout en donnant la possibilité à la recourante de valoriser son bien, même si cette valorisation ne correspond pas à ses expectatives optimales. Pour le surplus, la recourante pourra également valoriser son bien en effectuant des travaux de transformation sur le bâtiment de la dépendance, qui ne fait lui pas l'objet d'une mesure de protection. Au vu de ce qui précède, la décision litigieuse ne viole pas le principe de la proportionnalité, de sorte que la restriction au droit de la propriété qu'elle implique est justifiée. Ce grief sera donc écarté. 10) À titre principal, le recours sera rejeté s'agissant de l'inscription du bâtiment n° 3______ (villa), du portail d'entrée et de la parcelle n° 1______ à l'inventaire. Il sera partiellement admis sur la question de l'inscription du bâtiment n° 4______ (dépendance). 11) Vu l'issue du litige et dans la mesure où la recourante succombe sur l'essentiel de son recours, un émolument de CHF 1'500.- sera mis à sa charge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