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A/4053/2011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https://mcp.opencaselaw.ch/entscheid/ge_gerichte_A_4053_2011</w:t>
      </w:r>
    </w:p>
    <w:p>
      <w:r>
        <w:t>FR: GE_GERICHTE A/4053/2011 du 14 février 2014</w:t>
      </w:r>
    </w:p>
    <w:p>
      <w:r>
        <w:t>IT: GE_GERICHTE A/4053/2011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A/4053/2011</w:t>
      </w:r>
    </w:p>
    <w:p>
      <w:r>
        <w:t>A/4053/2011 ATAS/206/2014 du 14.02.2014 ( ARBIT ) , RETIRE RÉPUBLIQUE ET CANTON DE GENÈVE POUVOIR JUDICIAIRE A/4053/2011 ATAS/206/2014 ARRET DU TRIBUNAL ARBITRAL DES ASSURANCES du 14 février 2014 En la cause X__________ (X__________), à CHENE-BOURG, comparant avec élection de domicile en l'étude de Maître REY Stéphane demandeurs contre OFFICE ASSURANCE-INVALIDITE POUR LE CANTON DE VAUD, sis avenue du Général-Guisan 8, VEVEY défendeur Vu la demande en paiement de X__________ (ci-après : X__________), datée du 28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X__________. PAR CES MOTIFS, LE TRIBUNAL ARBITRAL DES ASSURANCES : 1.        Prend acte du retrait du recours.![endif]&gt;![if&gt; 2.        Met les frais du Tribunal d’un montant de 100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