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A/4038/2022 vom 31. Oktober 2023</w:t>
      </w:r>
    </w:p>
    <w:p>
      <w:r>
        <w:t>GE Cour de justice, 2023-10-31, FR</w:t>
      </w:r>
    </w:p>
    <w:p>
      <w:r>
        <w:rPr>
          <w:b/>
        </w:rPr>
        <w:t xml:space="preserve">Quelle: </w:t>
      </w:r>
      <w:r>
        <w:t>https://mcp.opencaselaw.ch/entscheid/ge_gerichte_A_4038_2022</w:t>
      </w:r>
    </w:p>
    <w:p>
      <w:r>
        <w:t>FR: GE_GERICHTE A/4038/2022 du 31 octobre 2023</w:t>
      </w:r>
    </w:p>
    <w:p>
      <w:r>
        <w:t>IT: GE_GERICHTE A/4038/2022 del 31 ottobre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ratione materiae pour juger du cas d’espèce est ainsi établie.</w:t>
      </w:r>
    </w:p>
    <w:p>
      <w:r>
        <w:rPr>
          <w:b/>
        </w:rPr>
        <w:t>E. 1.2</w:t>
      </w:r>
    </w:p>
    <w:p>
      <w:r>
        <w:t>Conformément à l’art. 58 al. 1 LPGA, le tribunal des assurances compétent est celui du canton de domicile de l’assuré ou d’une autre partie au moment du dépôt du recours. ![endif]&gt;![if&gt; Selon l’art. 69 al. 1 let. a LAI, en dérogation aux art. 52 et 58 LPGA, les décisions des offices AI cantonaux peuvent directement faire l’objet d’un recours devant le tribunal des assurances du domicile de l’office concerné. La recourante n’était certes pas domiciliée à Genève au moment du dépôt du recours mais la décision attaquée a été rendue par l’office AI du canton de Genève (dont la compétence, dans le cas particulier, se fonde sur l’art. 55 al. 1, 2 ème phrase LAI et l’art. 88 al. 1 du règlement sur l’assurance-invalidité du 17 janvier 1961 [RAI – RS 831.201]). Il s’ensuit que la chambre de céans est aussi compétente ratione loci pour connaître du litige.</w:t>
      </w:r>
    </w:p>
    <w:p>
      <w:r>
        <w:rPr>
          <w:b/>
        </w:rPr>
        <w:t>E. 1.3</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LAI).![endif]&gt;![if&gt; Le délai de recours est de trente jours (art. 56 LPGA ; art. 62 al. 1 LPA). Interjeté dans la forme et le délai prévus par la loi, le recours est recevable (art. 56 ss LPGA et 62 ss LPA).</w:t>
      </w:r>
    </w:p>
    <w:p>
      <w:r>
        <w:rPr>
          <w:b/>
        </w:rPr>
        <w:t>E. 2</w:t>
      </w:r>
    </w:p>
    <w:p>
      <w:r>
        <w:t>Le litige porte sur le point de savoir si à la suite de sa demande de révision du 28 janvier 2020, la recourante peut prétendre à une rente d’invalidité entière. ![endif]&gt;![if&gt;</w:t>
      </w:r>
    </w:p>
    <w:p>
      <w:r>
        <w:rPr>
          <w:b/>
        </w:rPr>
        <w:t>E. 3</w:t>
      </w:r>
    </w:p>
    <w:p>
      <w:r>
        <w:t>![endif]&gt;![if&gt;</w:t>
      </w:r>
    </w:p>
    <w:p>
      <w:r>
        <w:rPr>
          <w:b/>
        </w:rPr>
        <w:t>E. 3.1</w:t>
      </w:r>
    </w:p>
    <w:p>
      <w:r>
        <w:t>Dans le cadre du développement continu de l’AI, la LAI, le RAI et l’art. 17 LPGA notamment ont été modifiés avec effet au 1 er janvier 2022 (modifications des 19 juin 2020 et 3 novembre 2021 ; RO 2021 705 et RO 2021 706).![endif]&gt;![if&gt;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w:t>
      </w:r>
    </w:p>
    <w:p>
      <w:r>
        <w:rPr>
          <w:b/>
        </w:rPr>
        <w:t>E. 3.2</w:t>
      </w:r>
    </w:p>
    <w:p>
      <w:r>
        <w:t>En l’espèce, la décision attaquée a été rendue après le 1 er janvier 2022 mais le changement des circonstances invoqué à l’appui de la demande de révision (hémisyndrome sensitivomoteur) est survenu en juillet 2019 et avait donc déjà duré trois mois (art. 88 a RAI) au moment de l’entrée en vigueur des modifications des 19 juin 2020 et 3 novembre 2021 précitées. ![endif]&gt;![if&gt; En conséquence, le présent litige doit être tranché à la lumière des dispositions légales en vigueur jusqu’au 31 décembre 2021. En revanche, conformément à la jurisprudence, les nouvelles règles de procédure doivent être appliquées dès leur entrée en vigueur, à défaut de dispositions transitoires contraires en la matière. Toutefois, ce principe de droit intertemporel ne saurait s’appliquer lorsqu’il n’y a pas de continuité entre l’ancien et le nouveau droit et que celui-ci institue des règles de procédure totalement nouvelles (ATF 129 V 113 consid. 2.2).</w:t>
      </w:r>
    </w:p>
    <w:p>
      <w:r>
        <w:rPr>
          <w:b/>
        </w:rPr>
        <w:t>E. 4</w:t>
      </w:r>
    </w:p>
    <w:p>
      <w:r>
        <w:t>Par un moyen de nature formelle qu’il convient d’examiner en premier lieu, la recourante se plaint d’une violation de son droit d’être entendu (art. 29 al. 2 de la Constitution suisse du 18 avril 1999 (Cst. – RS 101) à plusieurs égards, tout d’abord pour ne pas s’être vu notifier une copie du rapport d’expertise du CEMed sitôt celui-ci rendu, mais n’en avoir pris connaissance qu’en consultant le dossier quelques jours avant l’échéance du délai fixé pour se déterminer sur le projet décision du 15 septembre 2022. En outre, l’intimé aurait également violé son droit d’être entendu en refusant de lui octroyer la prolongation de délai qu’elle avait requise pour présenter ses observations suite à la notification dudit projet, ce alors même que cet acte mentionnait la possibilité de demander une prolongation de délai « en cas d’impossibilité de transmettre les documents appropriés pour des raisons pertinentes ». Enfin, la recourante précise qu’il existait, en l’espèce, une « raison pertinente » puisque son conseil avait allégué être dans l’attente de documents médicaux et faire face à une surcharge momentanée de travail.![endif]&gt;![if&gt;</w:t>
      </w:r>
    </w:p>
    <w:p>
      <w:r>
        <w:rPr>
          <w:b/>
        </w:rPr>
        <w:t>E. 4.1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3.1).![endif]&gt;![if&gt;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 de manière exceptionnelle (ATF 127 V 431 consid. 3d/aa ; 126 V 131 consid. 2b).</w:t>
      </w:r>
    </w:p>
    <w:p>
      <w:r>
        <w:rPr>
          <w:b/>
        </w:rPr>
        <w:t>E. 4.2</w:t>
      </w:r>
    </w:p>
    <w:p>
      <w:r>
        <w:t>Il est constant que les délais légaux ne peuvent pas être prolongés, mais que les délais fixés par les autorités peuvent l’être (cf. notamment Ueli KIESER, Commentaire LPGA, 4 ème éd. 2020, n. 2 et 10 ad art. 40 LPGA et les références cités). C’est d’ailleurs ce que prévoit explicitement l’art. 40 al. 1 et 3 LPGA. Entré en vigueur le 1 er janvier 2021, l’art. 57 a al. 3 LAI dispose que les parties peuvent faire part de leurs observations concernant le préavis dans un délai de 30 jours. Il s’agit là d’un délai légal (ATF 143 V 71 consid. 4.3.4). Bien qu’ils ne souffrent aucune prolongation, des délais légaux peuvent être restitués en présence d’un empêchement non fautif de l’assuré ou de son mandataire (cf. art. 41 LPGA). D’un point de vue objectif, l’absence de faute est admise si des circonstances très particulières rendent impossible l’accomplissement de l’acte dans le délai imparti, par ex. un événement naturel imprévisible, l’incendie des bureaux du représentant de l’assuré, etc. Il suit de là que le délai dans lequel l’assuré devait procéder initialement est écoulé. D’un point de vue subjectif, l’empêchement non fautif est admis lorsque, pour des motifs indépendants de la volonté de l’assuré ou de son représentant, il leur était impossible d’effectuer l’acte requis dans le délai initial ou d’instruire un tiers dans ce sens. Classiquement, il s’agit par exemple d’une hospitalisation urgente ensuite d’un accident ou d’une maladie grave ou du décès d’un proche (cf. Anne-Sylvie DUPONT, in DUPONT/ MOSER-SZELESS [éd.] Commentaire romand de la LPGA, 2018, n. 4 ss ad art. 41 et les références). Une demande de prolongation d’un délai non prolongeable doit être traitée comme une demande de restitution de délai (cf. Ueli KIESER, op. cit ., n. 22 ad art. 40 LPGA et la référence). ![endif]&gt;![if&gt;</w:t>
      </w:r>
    </w:p>
    <w:p>
      <w:r>
        <w:rPr>
          <w:b/>
        </w:rPr>
        <w:t>E. 4.3</w:t>
      </w:r>
    </w:p>
    <w:p>
      <w:r>
        <w:t>En l’espèce, il sied de constater que ni le fait de n’avoir pas disposé du rapport du 8 novembre 2022 du Dr J______ – produit subséquemment avec le recours – ni les autres motifs invoqués n’empêchaient l’assurée, respectivement son conseil de formuler ses observations dans les 30 jours à compter de la notification du projet de décision. Le fait que l’intimé ait fait savoir, le 24 octobre 2022, qu’il ne donnerait pas suite à la demande de prolongation de délai, et qu’il ait rendu la décision litigieuse le lendemain n’apparaissent pas critiquables sous l’angle du droit d’être entendu. Une violation dans ce cas ne saurait par ailleurs être considérée comme grave au point qu’elle ne pourrait pas être réparée devant la chambre de céans puisque cette dernière bénéficie d’un plein pouvoir d’examen en fait et en droit (cf. ATF 137 V 71 consid. 5.1 ; ATF 134 V 199 consid. 1.2) et administre les preuves nécessaires (art. 61 let. c LGPA).![endif]&gt;![if&gt;</w:t>
      </w:r>
    </w:p>
    <w:p>
      <w:r>
        <w:rPr>
          <w:b/>
        </w:rPr>
        <w:t>E. 5</w:t>
      </w:r>
    </w:p>
    <w:p>
      <w:r>
        <w:t>![endif]&gt;![if&gt;</w:t>
      </w:r>
    </w:p>
    <w:p>
      <w:r>
        <w:rPr>
          <w:b/>
        </w:rPr>
        <w:t>E. 5.1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peut arriver qu’une modification des fondements juridiques déterminants intervienne après le prononcé de la décision (ATF 135 V 215 consid. 4.1; ATF 127 V 10 consid. 4b).![endif]&gt;![if&gt;</w:t>
      </w:r>
    </w:p>
    <w:p>
      <w:r>
        <w:rPr>
          <w:b/>
        </w:rPr>
        <w:t>E. 5.2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w:t>
      </w:r>
    </w:p>
    <w:p>
      <w:r>
        <w:rPr>
          <w:b/>
        </w:rPr>
        <w:t>E. 5.2.1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1.2).![endif]&gt;![if&gt;</w:t>
      </w:r>
    </w:p>
    <w:p>
      <w:r>
        <w:rPr>
          <w:b/>
        </w:rPr>
        <w:t>E. 5.2.2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3.5.2).![endif]&gt;![if&gt;</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(Ulrich MEYER-BLASER, Bundesgesetz über die Invalidenversicherung, 1997, p. 8).</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130 V 396 consid. 5.3 et 6).</w:t>
      </w:r>
    </w:p>
    <w:p>
      <w:r>
        <w:rPr>
          <w:b/>
        </w:rPr>
        <w:t>E. 6.3.1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référence).![endif]&gt;![if&gt;</w:t>
      </w:r>
    </w:p>
    <w:p>
      <w:r>
        <w:rPr>
          <w:b/>
        </w:rPr>
        <w:t>E. 6.3.3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w:t>
      </w:r>
    </w:p>
    <w:p>
      <w:r>
        <w:t>![endif]&gt;![if&gt;</w:t>
      </w:r>
    </w:p>
    <w:p>
      <w:r>
        <w:rPr>
          <w:b/>
        </w:rPr>
        <w:t>E. 7.1</w:t>
      </w:r>
    </w:p>
    <w:p>
      <w:r>
        <w:t>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(cf. ATF 144 I 28 consid. 2.3 ; 137 V 334 consid. 3.2 ; 117 V 194 consid. 3b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w:t>
      </w:r>
    </w:p>
    <w:p>
      <w:r>
        <w:rPr>
          <w:b/>
        </w:rPr>
        <w:t>E. 7.2</w:t>
      </w:r>
    </w:p>
    <w:p>
      <w:r>
        <w:t>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7.3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w:t>
      </w:r>
    </w:p>
    <w:p>
      <w:r>
        <w:rPr>
          <w:b/>
        </w:rPr>
        <w:t>E. 7.3.1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références).![endif]&gt;![if&gt;</w:t>
      </w:r>
    </w:p>
    <w:p>
      <w:r>
        <w:rPr>
          <w:b/>
        </w:rPr>
        <w:t>E. 7.3.2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 du Tribunal fédéral 9C_625/2017 du 26 mars 2018 consid. 6.2 et arrêt du Tribunal fédéral des assurances I 733/06 du 16 juillet 2007).![endif]&gt;![if&gt;</w:t>
      </w:r>
    </w:p>
    <w:p>
      <w:r>
        <w:rPr>
          <w:b/>
        </w:rPr>
        <w:t>E. 7.3.3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2005).![endif]&gt;![if&gt;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qui en résultent (arrêt du Tribunal fédéral 9C_657/2021 du 22 novembre 2022 consid. 5.1 et la référence).</w:t>
      </w:r>
    </w:p>
    <w:p>
      <w:r>
        <w:rPr>
          <w:b/>
        </w:rPr>
        <w:t>E. 7.3.4</w:t>
      </w:r>
    </w:p>
    <w:p>
      <w:r>
        <w:t>Pour satisfaire à l’obligation de réduire le dommage (cf.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6.2.1).![endif]&gt;![if&gt;</w:t>
      </w:r>
    </w:p>
    <w:p>
      <w:r>
        <w:rPr>
          <w:b/>
        </w:rPr>
        <w:t>E. 8</w:t>
      </w:r>
    </w:p>
    <w:p>
      <w:r>
        <w:t>![endif]&gt;![if&gt;</w:t>
      </w:r>
    </w:p>
    <w:p>
      <w:r>
        <w:rPr>
          <w:b/>
        </w:rPr>
        <w:t>E. 8.1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w:t>
      </w:r>
    </w:p>
    <w:p>
      <w:r>
        <w:rPr>
          <w:b/>
        </w:rPr>
        <w:t>E. 8.2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autre.![endif]&gt;![if&gt;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8.2.2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8.2.3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10</w:t>
      </w:r>
    </w:p>
    <w:p>
      <w:r>
        <w:t>Pour apprécier, en l’espèce, le bien-fondé d’une éventuelle révision opérée en application de l’art. 17 LPGA, il convient de comparer la situation au moment de la décision du 9 janvier 2020 avec celle prévalant au moment de la décision du 25 octobre 2022. ![endif]&gt;![if&gt;</w:t>
      </w:r>
    </w:p>
    <w:p>
      <w:r>
        <w:rPr>
          <w:b/>
        </w:rPr>
        <w:t>E. 10.1</w:t>
      </w:r>
    </w:p>
    <w:p>
      <w:r>
        <w:t>On relève, à titre liminaire, que les termes de la comparaison évoquée ont été soumis sous une forme similaire aux experts (cf. dossier AI, doc. 225, p. 977). Cependant, à la question de savoir si l’état de santé de l’assurée s’était modifié par rapport à la situation médicale décrite dans le dossier sur lequel se fondait la décision du 9 janvier 2020, les experts ont répondu : « l’hémisyndrome sensitivomoteur gauche est resté inchangé, toujours sévère, même s’il a été constaté au terme des séjours à Crans-Montana une petite amélioration que l’on n’observe pas actuellement ». Dans le même ordre d’idées, ils ont considéré que la question (qui leur était posée) de savoir à quand remontait la modification de l’état de santé était « sans objet » (dossier AI, doc. 225, p. 978). À la lecture de ces réponses des experts, il apparaît prima facie que ces derniers soient passés à côté du sujet de l’expertise, étant rappelé que les faits pertinents sont ceux sur lesquels se fondait le dernier examen matériel du droit à la rente (cf. ci-dessus : consid. 5.2.2) et qu’en l’occurrence, la situation médicale sur laquelle se fondait la décision du 9 janvier 2020 était celle ressortant des constatations de l’avis du 14 février 2019 du Dr F______, médecin du SMR. Ce praticien concluait que l’atteinte à la santé consistait dans un état dépressif sévère, avec symptômes psychiques (F33.3), entrainant une capacité de travail nulle depuis avril 2016, sans qu’il soit alors question de l’hémisyndrome sensitivomoteur. En effet, bien qu’il soit apparu en juillet 2019, ce diagnostic n’est parvenu à la connaissance de l’intimé qu’après la décision du 9 janvier 2020, dans le cadre de la demande de révision du 28 janvier 2020. ![endif]&gt;![if&gt;</w:t>
      </w:r>
    </w:p>
    <w:p>
      <w:r>
        <w:rPr>
          <w:b/>
        </w:rPr>
        <w:t>E. 10.2</w:t>
      </w:r>
    </w:p>
    <w:p>
      <w:r>
        <w:t>Ceci étant précisé, il n’en reste pas moins nécessaire d’examiner, ci-après, s’il est possible, sur la base des constatations des experts, de tirer des conclusions sur les modifications induites par ce diagnostic. Ce point sera abordé ci-après dans le cadre de l’examen de la valeur probante du rapport d’expertise du CEMed sur le plan somatique/neurologique (consid. 10.2.1) et psychiatrique (consid. 10.2.2). ![endif]&gt;![if&gt;</w:t>
      </w:r>
    </w:p>
    <w:p>
      <w:r>
        <w:rPr>
          <w:b/>
        </w:rPr>
        <w:t>E. 10.2.1</w:t>
      </w:r>
    </w:p>
    <w:p>
      <w:r>
        <w:t>Il sied de relever que malgré le caractère seulement en partie pertinent (sous l’angle de la comparaison à effectuer) des réponses reproduites ci-dessus (consid. 10.1), lesquelles reviennent à dire que l’hémisyndrome sensitivomoteur est resté inchangé depuis son apparition, le Dr M______ n’en relate pas moins, dans le cadre de son entretien avec la recourante, la situation avant et après ce diagnostic, dont les répercussions observées sont présentées comme suit dans le cadre de l’examen clinique : « [elle] se déshabille et s’habille de façon complète en utilisant uniquement le membre supérieur droit l’hémicorps gauche paraissant paralysé », qu’elle ne paraît « pas à même de tenir debout sans appui », qu’à l’examen des membres supérieurs, « l’épreuve des bras tendus est sans chute à droite et totalement impossible à gauche » et qu’au testing de la force musculaire, l’ensemble des groupes musculaires est à M5 à droite alors qu’on note une force de M0 à gauche, tout mouvement paraissant impossible ». Suite à ces constatations, l’expert neurologue conclut que « l’examen pratiqué […] permet de retrouver un hémisyndrome sensitivomoteur gauche facio-brachio-crural apparemment sévère (plus sévère encore que dans les dossiers à disposition), avec une impossibilité pratiquement complète de mobilisation des membres supérieur et inférieur gauche ». Il précise que ce diagnostic « est résistant à toutes formes de tentatives de traitement, sans substrat somatique objectivable, et vraisemblablement à mettre en relation avec les éléments psychiques » (« syndrome de conversion lié à une problématique inconsciente secondaire à l’état psychique de l’assurée »). Sur le plan de la capacité de travail, il en résulte que « théoriquement, d’un point de vue strictement neurologique, on pourrait envisager que [l’assurée] puisse reprendre une activité professionnelle adaptée, c’est-à-dire une activité sédentaire, mono-manuelle de la main droite […] se déroulant uniquement en position assise », mais que selon l’expert psychiatre N______, les éléments psychiques (ci-après : consid. 10.2.2) ne permettraient pas la reprise d’une telle activité, rendant ainsi, d’entente entre les experts, la capacité de travail nulle dans toute activité, même adaptée, depuis l’apparition de l’hémisyndrome sensitivomoteur gauche en juillet 2019 (dossier AI, doc. 225, pp. 1024-1026, 1032-1038). En ce qui concerne les travaux habituels, les experts estiment également de manière consensuelle que la recourante peut s’alimenter en utilisant la main droite et en restant en position assise dans son fauteuil roulant, qu’elle peut probablement également nettoyer la cuisine au quotidien. En ce qui concerne l’entretien du logement, seul passer la poussière leur paraît envisageable. La recourante gère ses achats. Ses démarches administratives sont effectuées par Pro Infirmis. S’agissant de la lessive et de l’entretien des vêtements, il semblerait que sa fille s’en chargerait. ![endif]&gt;![if&gt;</w:t>
      </w:r>
    </w:p>
    <w:p>
      <w:r>
        <w:rPr>
          <w:b/>
        </w:rPr>
        <w:t>E. 10.2.2</w:t>
      </w:r>
    </w:p>
    <w:p>
      <w:r>
        <w:t>D’un point de vue psychique, le Dr N______ explique les raisons qui le poussent à s’écarter des diagnostics émis précédemment – dont celui de trouble somatoforme (Dr K______) – et à retenir, en lieu et place, un trouble de la personnalité émotionnellement labile type borderline (F60.31) actuellement déstabilisé. Il ajoute que malgré cette différence d’appréciation diagnostique, il lui est possible de renvoyer aux précédents avis du SMR pour la capacité de travail et les limitations fonctionnelles qui découlent du trouble de la personnalité précité, si bien que la capacité de travail demeure nulle dans toute activité, même adaptée, depuis le 1 er octobre 2017. ![endif]&gt;![if&gt; La chambre de céans constate que même si l’expert N______ ne s’en tient pas strictement aux standards usuels d’une expertise psychiatrique réalisée selon la procédure probatoire structurée au sens de l’ATF 141 V 281 (ATF 143 V 418 ) et que ses explications requièrent de la part du lecteur qu’il recherche lui-même dans l’expertise les différents indicateurs jurisprudentiels et en fasse la synthèse lui-même, il ne résulte pas moins de l’inventaire de tous les points pertinents, en particulier des informations qu’il y a lieu de classer sous l’indicateur « atteinte à la santé », que le trouble de la personnalité évoqué limite la recourante de façon importante dans les 13 items d’activités et de participations répertoriés dans la « mini CIF-APP », à savoir, selon l’expert : -     l’adaptation aux règles et routines, ![endif]&gt;![if&gt; -     la planification et structuration des tâches, ![endif]&gt;![if&gt; -     la flexibilité et l’adaptabilité, ![endif]&gt;![if&gt; -     la mise en pratique des compétences et des connaissances professionnelles, ![endif]&gt;![if&gt; -     la capacité à porter des jugements et prendre des décisions,![endif]&gt;![if&gt; -     les activités spontanées et la proactivité, ![endif]&gt;![if&gt; -     la capacité d’endurance et de résistance, ![endif]&gt;![if&gt; -     la capacité d’affirmation de soi, ![endif]&gt;![if&gt; -     la capacité de contact et de conversation avec des tiers,![endif]&gt;![if&gt; -     la capacité d’intégration dans un groupe, ![endif]&gt;![if&gt; -     la capacité aux relations privilégiées à deux,![endif]&gt;![if&gt; -     la capacité à prendre soin de soi et à se prendre en charge, ![endif]&gt;![if&gt; -     la mobilité et la capacité de déplacement.![endif]&gt;![if&gt; L’expert ajoute que même si un traitement psychiatrique et psychothérapeutique n’aurait pas d’effet direct sur la capacité de travail à moyen terme, il existe tout de même une indication à la reprise d’un tel traitement, à la visite d’infirmières psychiatriques à domicile ainsi qu’à la poursuite du traitement antidépresseur qui est au demeurant observé par l’intéressée. S’agissant de l’axe « personnalité », les constatations faites, éclairées notamment par le parcours de l’intéressée (enfance, scolarité, formation, parcours professionnel et famille) et son status psychiatrique conduisent l’expert psychiatre à retenir que les ressources de la recourante sont actuellement hypothéquées par la psychopathologie qu’elle présente : elle est capable de communiquer et garde des capacités relationnelles, mais elle ne parvient pas à respecter un cadre, ne sait ni s’adapter ni s’organiser, est dépourvue de flexibilité psychique et d’endurance, et n’est pas toujours rationnelle. S’agissant de l’axe « contexte social », soit la recherche d’un éventuel retentissement des troubles psychiques sur la vie sociale, l’expert constate que la recourante paraît entourée par quelques amis et une de ses filles, mais que le réseau social semble néanmoins relativement modeste. Enfin, le degré de gravité fonctionnelle de l’atteinte résiste à l’examen sous l’angle de la cohérence : selon le Dr N______, bien que le diagnostic de trouble de la personnalité n’ait pas été discuté antérieurement à l’expertise, les limitations fonctionnelles qui en découlent ont été déjà largement évoquées par le SMR.</w:t>
      </w:r>
    </w:p>
    <w:p>
      <w:r>
        <w:rPr>
          <w:b/>
        </w:rPr>
        <w:t>E. 10.2.3</w:t>
      </w:r>
    </w:p>
    <w:p>
      <w:r>
        <w:t>Il résulte de ce qui précède que par rapport à l’état de fait sur lequel se fondait la décision du 9 janvier 2020, la recourante présentait toujours, à la date de la décision litigieuse, une atteinte à la santé psychique totalement incapacitante dans toute activité, même adaptée aux limitations fonctionnelles retenues par le SMR dans son avis du 14 février 2019, à savoir : une grande fragilité psychologique, une difficulté à gérer le stress, un effondrement des ressources d’adaptation, une difficulté à organiser le temps, à gérer ses tâches administratives et ses émotions, ainsi qu’une difficulté dans ses déplacements. En revanche, sur le plan neurologique, l’hémisyndrome sensitivomoteur gauche, apparu en juillet 2019, représente une atteinte nouvelle dont les limitations fonctionnelles ne se recoupent qu’en partie avec les limitations fonctionnelles d’ordre psychique (difficulté dans les déplacements) puisque selon l’expert M______, « l’impossibilité pratiquement complète de mobilisation […] et l’atteinte sensitive également sévère » ne concernent pas uniquement le membre inférieur gauche mais aussi le membre supérieur gauche (cf. dossier AI, doc. 225, p. 1034). Bien que cette limitation fonctionnelle supplémentaire en lien avec le bras gauche ne présente, d’un point de vue strictement neurologique, qu’un intérêt théorique sous l’angle de la capacité de travail – qui, selon l’expert M______, serait entière dans une activité sédentaire, en position assise et mono-manuelle (droite) sans les aspects psychiques du cas –, il n’en reste pas moins que celle-ci a des répercussions pratiques sur les travaux habituels (cf. ci-après : consid. 12). Tenant compte des plaintes de la recourante, comportant une anamnèse détaillée, des diagnostics motivés et des conclusions claires et cohérentes dans le sens ainsi précisé, le rapport d’expertise rhumato-psychiatrique du 21 mars 2021 remplit les réquisits permettant de lui reconnaître valeur probante. Tel n’est en revanche pas le cas pour le rapport du SMR du 12 juillet 2022, en tant que celui-ci infère de l’expertise que l’état de santé serait stationnaire depuis le 1 er octobre 2017 et les limitations fonctionnelles celles déjà retenues par le SMR dans son avis du</w:t>
      </w:r>
    </w:p>
    <w:p>
      <w:r>
        <w:rPr>
          <w:b/>
        </w:rPr>
        <w:t>E. 14</w:t>
      </w:r>
    </w:p>
    <w:p>
      <w:r>
        <w:t>La recourante, représentée par une avocate, a droit à des dépens, qui seront fixés à CHF 2’500.- (art. 61 let. g LPGA).![endif]&gt;![if&gt;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