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A/4035/2018 vom 4. Dezember 2018</w:t>
      </w:r>
    </w:p>
    <w:p>
      <w:r>
        <w:t>GE Cour de justice, 2018-12-04, FR</w:t>
      </w:r>
    </w:p>
    <w:p>
      <w:r>
        <w:rPr>
          <w:b/>
        </w:rPr>
        <w:t xml:space="preserve">Quelle: </w:t>
      </w:r>
      <w:r>
        <w:t>https://mcp.opencaselaw.ch/entscheid/ge_gerichte_A_4035_2018</w:t>
      </w:r>
    </w:p>
    <w:p>
      <w:r>
        <w:t>FR: GE_GERICHTE A/4035/2018 du 4 décembre 2018</w:t>
      </w:r>
    </w:p>
    <w:p>
      <w:r>
        <w:t>IT: GE_GERICHTE A/4035/2018 del 4 dicembre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13 novembre 2018, la direction générale des finances de l’État (ci-après : DGFE), rattachée au Département des finances et des ressources humaines, a écarté l’offre présentée par Dorga Restauration Service SA (ci-après : Dorga) à la suite de l’appel d’offres « acquisition de nourriture pour la prison de Champ-Dollon » dans le cadre d’un marché public en procédure ouverte, soumis à l’Accord GATT/OMC du 15 avril 1994 sur les marchés publics (AMP - RS 0.632.231.422) et à l’accord intercantonal sur les marchés publics du 12 juin 1997 (AIMP).![endif]&gt;![if&gt; Dorga avait envoyé son offre par courrier électronique, alors que le ch. 5 let. c et d des conditions générales de soumission prévoyait que seules les offres adressées, sous pli fermé, par courrier ou déposées auprès du secrétariat de la DGFE étaient prises en compte.</w:t>
      </w:r>
    </w:p>
    <w:p>
      <w:r>
        <w:rPr>
          <w:b/>
        </w:rPr>
        <w:t>E. 2</w:t>
      </w:r>
    </w:p>
    <w:p>
      <w:r>
        <w:t>Par acte expédié le 16 novembre 2018 à la chambre administrative de la Cour de justice, Dorga a recouru contre la décision précitée. Elle ne contestait pas ne pas avoir respecté la forme requise pour l’envoi du dossier. Elle s’excusait de ne pas avoir lu correctement le ch. 5 let. c et d des conditions générales. Elle pensait bien faire en envoyant son offre par voie électronique. Elle demandait ainsi à pouvoir intégrer la procédure.![endif]&gt;![if&gt;</w:t>
      </w:r>
    </w:p>
    <w:p>
      <w:r>
        <w:rPr>
          <w:b/>
        </w:rPr>
        <w:t>E. 3</w:t>
      </w:r>
    </w:p>
    <w:p>
      <w:r>
        <w:t>La DGFE a fait parvenir son dossier à la chambre de céans, sans être invitée à sa déterminer.![endif]&gt;![if&gt;</w:t>
      </w:r>
    </w:p>
    <w:p>
      <w:r>
        <w:rPr>
          <w:b/>
        </w:rPr>
        <w:t>E. 4</w:t>
      </w:r>
    </w:p>
    <w:p>
      <w:r>
        <w:t>Vu l’issue du litige, un émolument de CHF 1'000.- sera mis à la charge de la recourante, qui succombe (art. 87 al. 1 LPA), et aucune indemnité de procédure ne lui sera allouée (art. 87 al. 2 LPA).![endif]&gt;![if&gt;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