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A/4034/2024 vom 4. Februar 2025</w:t>
      </w:r>
    </w:p>
    <w:p>
      <w:r>
        <w:t>GE Cour de justice, 2025-02-04, FR</w:t>
      </w:r>
    </w:p>
    <w:p>
      <w:r>
        <w:rPr>
          <w:b/>
        </w:rPr>
        <w:t xml:space="preserve">Quelle: </w:t>
      </w:r>
      <w:r>
        <w:t>https://mcp.opencaselaw.ch/entscheid/ge_gerichte_A_4034_2024</w:t>
      </w:r>
    </w:p>
    <w:p>
      <w:r>
        <w:t>FR: GE_GERICHTE A/4034/2024 du 4 février 2025</w:t>
      </w:r>
    </w:p>
    <w:p>
      <w:r>
        <w:t>IT: GE_GERICHTE A/4034/2024 del 4 febbraio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1.2</w:t>
      </w:r>
    </w:p>
    <w:p>
      <w:r>
        <w:t>À teneur de l'art. 1 al. 1 LAA, les dispositions de la LPGA s'appliquent à l'assurance-accidents, à moins que la loi n'y déroge expressément. 2. Le litige porte sur la contestation du recourant suite au refus de l’intimée de prendre en charge les suites du sinistre annoncé le 1 er octobre 2024. 3. Selon l’art. 49 LPGA, l'assureur doit rendre par écrit les décisions qui portent sur des prestations, créances ou injonctions importantes ou avec lesquelles l'intéressé n'est pas d'accord (al. 1). Les décisions indiquent les voies de droit. Elles doivent être motivées si elles ne font pas entièrement droit aux demandes des parties. La notification irrégulière d'une décision ne doit entraîner aucun préjudice pour l'intéressé (al. 2). L’art. 51 LPGA prévoit que les prestations, créances et injonctions qui ne sont pas visées à l’art. 49 al. 1 peuvent être traitées selon une procédure simplifiée (al. 1). L’intéressé peut exiger qu’une décision soit rendue (al. 2). En vertu de l’art. 52 LPGA, les décisions peuvent être attaquées dans les trente jours par voie d'opposition auprès de l'assureur qui les a rendues, à l'exception des décisions d'ordonnancement de la procédure (al. 1). Les décisions sur opposition doivent être rendues dans un délai approprié. Elles sont motivées et indiquent les voies de recours (al. 2). La procédure d'opposition est gratuite. En règle générale, il ne peut être alloué de dépens (al. 3). Conformément à l’art. 56 LPGA, les décisions sur opposition et celles contre lesquelles la voie de l'opposition n'est pas ouverte sont sujettes à recours (al. 1). Le recours peut aussi être formé lorsque l'assureur, malgré la demande de l'intéressé, ne rend pas de décision ou de décision sur opposition (al. 2). 3.1 Dans la procédure juridictionnelle administrative, ne peuvent être examinés et jugés, en principe, que les rapports juridiques à propos desquels l'autorité administrative compétente s'est prononcée préalablement d'une manière qui la lie, sous la forme d'une décision (en principe sur opposition). Dans cette mesure, la décision détermine l'objet de la contestation qui peut être déféré en justice par voie de recours. En revanche, si aucune décision n'a été rendue, la contestation n'a pas d'objet, et un jugement sur le fond ne peut pas être prononcé (ATF 131 V 164 consid. 2.1 ; 125 V 414 consid. 1a ; 119 Ib 36 consid. 1b ; arrêt du Tribunal fédéral K 126/06 du 15 juillet 2007 consid. 3.1). 3.2 En matière d’assurance-accidents, la procédure simplifiée, réservée par l’art. 51 LPGA concerne les prestations, créances ou injonctions « non importantes » ou avec lesquelles l’intéressé est d’accord (art. 49 al. 1 LPGA a contrario ; Ueli KIESER, ATSG-Kommentar, 2009, p. 643, n. 4). Peuvent être qualifiées de non importantes, les prestations d’un montant de quelques centaines de francs ainsi que celles qui concernent des prestations périodiques (Ueli KIESER, op. cit. p. 613 n. 15 et les références). La loi ne règle pas la situation dans laquelle un assureur a rendu, en procédure informelle (art. 51 LPGA), une décision matérielle qui, aux termes de l’art. 49 al. 1 LPGA, aurait dû faire l’objet d’une décision formelle (ATF 134 V 145 consid. 5.1). En pareil cas, selon la jurisprudence, l'art. 51 al. 2 LPGA s'applique par analogie et l'assuré est en droit de demander à l'assureur la décision formelle qui ne lui a pas été adressée (ATF 134 V145 ; arrêt du Tribunal fédéral 4A_332/2008 consid. 2). 4. En l’espèce, le recourant conteste le refus de prise en charge annoncé par l’intimée dans son courrier du 21 novembre 2024. Au vu des pièces du dossier, la prise de position de l’intimée n'a fait l'objet d'aucune décision, initiale ou sur opposition. Partant, le présent recours sera déclaré irrecevable et le dossier renvoyé à l’intimée pour qu’elle statue par le biais d'une décision formelle sujette à opposition sur la question de la prise en charge de l’évènement annoncé le 1 er octobre 2024. Pour le surplus, la procédure est gratuite (art. 61 let. a LPGA). PAR CES MOTIFS, LA CHAMBRE DES ASSURANCES SOCIALES : Statuant À la forme :</w:t>
      </w:r>
    </w:p>
    <w:p>
      <w:r>
        <w:rPr>
          <w:b/>
        </w:rPr>
        <w:t>E. 6</w:t>
      </w:r>
    </w:p>
    <w:p>
      <w:r>
        <w:t>octobre 2000 (LPGA - RS 830.1) relatives à la loi fédérale sur l'assurance-accidents du 20 mars 1981 (LAA - RS 832.20). Sa compétence pour juger du cas d’espèce est ainsi établie.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