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A/4032/2014 vom 16. Februar 2015</w:t>
      </w:r>
    </w:p>
    <w:p>
      <w:r>
        <w:t>GE Cour de justice, 2015-02-16, FR</w:t>
      </w:r>
    </w:p>
    <w:p>
      <w:r>
        <w:rPr>
          <w:b/>
        </w:rPr>
        <w:t xml:space="preserve">Quelle: </w:t>
      </w:r>
      <w:r>
        <w:t>https://mcp.opencaselaw.ch/entscheid/ge_gerichte_A_4032_2014</w:t>
      </w:r>
    </w:p>
    <w:p>
      <w:r>
        <w:t>FR: GE_GERICHTE A/4032/2014 du 16 février 2015</w:t>
      </w:r>
    </w:p>
    <w:p>
      <w:r>
        <w:t>IT: GE_GERICHTE A/4032/2014 del 16 febbraio 2015</w:t>
      </w:r>
    </w:p>
    <w:p>
      <w:pPr>
        <w:pStyle w:val="Heading2"/>
      </w:pPr>
      <w:r>
        <w:t>Erwägungen</w:t>
      </w:r>
    </w:p>
    <w:p>
      <w:r>
        <w:rPr>
          <w:b/>
        </w:rPr>
        <w:t>E. 10</w:t>
      </w:r>
    </w:p>
    <w:p>
      <w:r>
        <w:t>ème Chambre En la cause Monsieur A______, domicilié à MARSEILLE, France recourant contre SUVA CAISSE NATIONALE D'ASSURANCES EN CAS D'ACCIDENTS, sise Fluhmattstrasse 1, LUCERNE intimée EN FAIT 1.        Par décision du 16 octobre 2014, la SUVA (ci-après : l’intimée) a rendu une décision sur opposition à l’encontre de Monsieur A______ (ci-après : le recourant) au motif que selon l’art. 7 al. 2 LPGA, il n’y a incapacité de gain que si celle-ci n’est pas objectivement surmontable.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litige portant essentiellement sur la rente d’invalidité.![endif]&gt;![if&gt; 2.        Le recourant a fait recours le 17 décembre 2014, contre ladite décision sur opposition de l’intimée, directement auprès de cette dernière.![endif]&gt;![if&gt; 3.        Par courrier du 15 janvier 2015, l’intimée a transmis ledit recours à la chambre de céans pour objet de sa compétence, ainsi que l’enveloppe contenant le recours.![endif]&gt;![if&gt; 4.        Par courrier du 16 janvier 2015, la chambre de céans a informé le recourant de la réception de son recours et lui a imparti un délai au 28 janvier 2015 pour l’informer des raisons pour lesquelles il a été empêché d’agir dans le délai légal de trente jours, son recours étant manifestement tardif. Ce même délai lui a été imparti pour lui retourner l’original de son recours signé, sous peine d’irrecevabilité.![endif]&gt;![if&gt; 5.        Dans le délai imparti, le recourant ne s’est pas manifesté.![endif]&gt;![if&gt;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Selon l'art. 52 al. 1 LPGA, les décisions peuvent être attaquées dans les trente jours par voie d'opposition auprès de l'assureur qui les a rendues. ![endif]&gt;![if&gt; L’art. 38 al. 1 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3.        Force est dès lors de constater que l’opposition formée le 17 décembre 2014 n’est pas intervenue dans le délai légal. ![endif]&gt;![if&gt; 4.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![endif]&gt;![if&gt; En l'espèce, une restitution du délai de recours au sens de l'art. 41 al. 1 LPGA ne se justifie pas. En effet, le recourant n'invoque aucun motif légal qui l'aurait empêché d'agir dans le délai et pouvant justifier une restitution du délai. En l'absence de motif valable de restitution de délai, c'est dès lors à juste titre que l'intimé a qualifié l'opposition d'irrecevable pour cause de tardiveté. Le recours doit donc être rejeté. 5.        Par ailleurs, selon l'art 89B al. 1 de la Loi cantonale genevoise de procédure administrative (LPA), l'acte de recours est adressé à la chambre de céans soit par une lettre, soit par un mémoire signé.![endif]&gt;![if&gt; 6.        A cet égard, un recours interjeté par courrier non signé ne satisfait pas à cette exigence (ATF 121 II 252 ).![endif]&gt;![if&gt; Si la lettre ou le mémoire n'est pas conforme, la chambre de céans impartit un délai convenable à son auteur pour le compléter en indiquant qu'en cas d'inobservation la demande ou le recours est écarté. En l'occurrence, un délai de douze jours a été fixé au recourant pour retourner son courrier dûment signé. 7.        Il ne s'est pas manifesté dans ce délai.![endif]&gt;![if&gt; 8.        L’acte de recours non signé, qui ne comporte pas sa signature manuscrite originale, n’est pas conforme aux dispositions qui précèdent, de sorte que le recours doit être déclaré irrecevable.![endif]&gt;![if&gt; 9.        Compte tenu de l’issue de la procédure, il sera renoncé à la perception d’un émolument.![endif]&gt;![if&gt;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