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A/4020/2024 vom 28. Januar 2025</w:t>
      </w:r>
    </w:p>
    <w:p>
      <w:r>
        <w:t>GE Cour de justice, 2025-01-28, FR</w:t>
      </w:r>
    </w:p>
    <w:p>
      <w:r>
        <w:rPr>
          <w:b/>
        </w:rPr>
        <w:t xml:space="preserve">Quelle: </w:t>
      </w:r>
      <w:r>
        <w:t>https://mcp.opencaselaw.ch/entscheid/ge_gerichte_A_4020_2024</w:t>
      </w:r>
    </w:p>
    <w:p>
      <w:r>
        <w:t>FR: GE_GERICHTE A/4020/2024 du 28 janvier 2025</w:t>
      </w:r>
    </w:p>
    <w:p>
      <w:r>
        <w:t>IT: GE_GERICHTE A/4020/2024 del 28 gennaio 2025</w:t>
      </w:r>
    </w:p>
    <w:p>
      <w:pPr>
        <w:pStyle w:val="Heading2"/>
      </w:pPr>
      <w:r>
        <w:t>Erwägungen</w:t>
      </w:r>
    </w:p>
    <w:p>
      <w:r>
        <w:rPr>
          <w:b/>
        </w:rPr>
        <w:t>E. 1</w:t>
      </w:r>
    </w:p>
    <w:p>
      <w:r>
        <w:t>La compétence de la chambre administrative est acquise, dès lors que la procédure vise à la révision de l’un de ses arrêts (art. 81 al. 1 LPA).</w:t>
      </w:r>
    </w:p>
    <w:p>
      <w:r>
        <w:rPr>
          <w:b/>
        </w:rPr>
        <w:t>E. 1.1</w:t>
      </w:r>
    </w:p>
    <w:p>
      <w:r>
        <w:t>En vertu de l’art. 81 LPA, la demande de révision doit être adressée par écrit à la juridiction qui a rendu la décision dans les trois mois dès la découverte du motif de révision (al. 1) et au plus tard dans les dix ans à compter de la notification de la décision. Les art. 64 et 65 LPA sont applicables par analogie. La demande doit, en particulier, indiquer le motif de révision et contenir les conclusions du requérant pour le cas où la révision serait admise et une nouvelle décision prise (al. 3).</w:t>
      </w:r>
    </w:p>
    <w:p>
      <w:r>
        <w:rPr>
          <w:b/>
        </w:rPr>
        <w:t>E. 1.2</w:t>
      </w:r>
    </w:p>
    <w:p>
      <w:r>
        <w:t>Selon le texte de l'art. 80 LPA, la demande de révision ne peut viser qu'une décision définitive, ce qui paraît exclure les décisions ayant fait, ou pouvant encore faire lors de l'introduction de la demande de révision, l'objet d'un recours auprès du Tribunal fédéral. Il a toutefois été jugé que l'instance précédant le Tribunal fédéral ne peut refuser d'entrer en matière sur une demande de révision au seul motif qu'un recours contre le jugement dont la révision est demandée a été introduit devant cette juridiction (ATF 138 II 386 consid. 6.4 ; Christian DENYS, Commentaire de la LTF, 3 e édition, 2022, n. 4, 7 et 9 ad art. 125 LTF). Dans une telle hypothèse, il incombe à la partie recourante de requérir la suspension de la procédure fédérale, de manière à éviter que le Tribunal fédéral statue matériellement sur le recours pendant la procédure de révision cantonale (ATF 144 I 208 consid. 4.1 ; 138 II 386 consid. 7 ; DENYS, op. cit., n. 5 et 6 ad art. 125 LTF).</w:t>
      </w:r>
    </w:p>
    <w:p>
      <w:r>
        <w:rPr>
          <w:b/>
        </w:rPr>
        <w:t>E. 1.3</w:t>
      </w:r>
    </w:p>
    <w:p>
      <w:r>
        <w:t>En l'occurrence, la demande de révision a été formée moins de trois mois après le prononcé de l'arrêt dont la révision est requise, à la suite duquel la requérante a réalisé l'erreur commise. Elle comporte une motivation et des conclusions. Le fait que la requérante ait, simultanément au dépôt de sa demande de révision, recouru auprès du Tribunal fédéral contre la décision dont elle demande la révision ne fait, conformément aux principes rappelés ci-dessus, pas obstacle à sa recevabilité. La demande de révision est donc recevable.</w:t>
      </w:r>
    </w:p>
    <w:p>
      <w:r>
        <w:rPr>
          <w:b/>
        </w:rPr>
        <w:t>E. 2.1</w:t>
      </w:r>
    </w:p>
    <w:p>
      <w:r>
        <w:t>Selon l’art. 80 let. b LPA, il y a lieu à révision lorsque des faits ou des moyens de preuve nouveaux et importants existent, que le demandeur ne pouvait connaître ou invoquer dans la procédure précédente. L'art. 80 let. b LPA vise uniquement les faits et moyens de preuve qui existaient au moment de la première procédure, mais n'avaient alors pas été soumis au juge (faits nouveaux « anciens » ; ATA/627/2020 du 30 juin 2020 consid. 1b et 1c ; ATA/362/2018 du 17 avril 2018 consid. 1c ; ATA/294/2015 du 24 mars 2015 consid. 3c). Sont « nouveaux », au sens de cette disposition, les faits qui, survenus à un moment où ils pouvaient encore être allégués dans la procédure principale, n'étaient pas connus du requérant malgré toute sa diligence (ATF 134 III 669 consid. 2.2 ; 134 IV 48 consid. 1.2 ; ATA/362/2018 précité consid. 1c).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 Les preuves nouvelles,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(ATF 134 IV 48 consid. 1.2 ; ATA/90/2017 du 3 février 2017 consid. 2c et les références citées ; Stéphane GRODECKI/Romain JORDAN, Code annoté de procédure administrative genevoise, 2017, § 971).</w:t>
      </w:r>
    </w:p>
    <w:p>
      <w:r>
        <w:rPr>
          <w:b/>
        </w:rPr>
        <w:t>E. 2.2</w:t>
      </w:r>
    </w:p>
    <w:p>
      <w:r>
        <w:t>La requérante produit en l'espèce à l'appui de sa demande un justificatif du paiement qu'elle a effectué le 8 octobre 2024. Il s'agit là d'une preuve nouvelle établissant de manière concluante un fait – le paiement en temps utile de l'avance de frais requise – important, dès lors que l'arrêt dont la révision est requise est fondé sur le défaut de paiement de cette avance. Il est certes regrettable que la requérante n'ait pas spontanément produit un tel justificatif avant l'expiration du délai de paiement, comme demandé dans la lettre de la chambre de céans du 26 septembre 2024, mais cette carence paraît excusable au vu de l'ensemble des circonstances de l'espèce, notamment des usages actuels en matière de trafic des paiements et du fait que le virement auquel elle avait procédé de la même manière dans une cause précédente avait été correctement attribué. L'erreur commise, consistant à utiliser pour le paiement de l'avance requise le bulletin de versement relatif à une précédente avance de même montant, qui plus est dans une cause opposant les mêmes parties et portant sur la même problématique, demeure elle aussi excusable; elle était par ailleurs difficilement décelable par elle avant réception de l'arrêt d'irrecevabilité du 28 octobre 2024. Les conditions d'une révision de cet arrêt sont ainsi réalisées.</w:t>
      </w:r>
    </w:p>
    <w:p>
      <w:r>
        <w:rPr>
          <w:b/>
        </w:rPr>
        <w:t>E. 2.3</w:t>
      </w:r>
    </w:p>
    <w:p>
      <w:r>
        <w:t>La preuve nouvelle produite par la requérante conduit à retenir que celle-ci s'est acquittée en temps utile de l'avance de frais requise dans la cause A/3150/2024. La décision d'irrecevabilité prononcée le 28 octobre 2024 sera en conséquence annulée et la procédure reprise.</w:t>
      </w:r>
    </w:p>
    <w:p>
      <w:r>
        <w:rPr>
          <w:b/>
        </w:rPr>
        <w:t>E. 3</w:t>
      </w:r>
    </w:p>
    <w:p>
      <w:r>
        <w:t>Au vu de l'issue de la procédure de révision, aucun émolument ne sera prélevé dans (art. 87 al. 1 LPA). La nécessité de cette procédure étant imputable à une erreur de la requérante, aucune indemnité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