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A/400/2011 vom 31. Januar 2011</w:t>
      </w:r>
    </w:p>
    <w:p>
      <w:r>
        <w:t>GE Cour de justice, 2011-01-31, FR</w:t>
      </w:r>
    </w:p>
    <w:p>
      <w:r>
        <w:rPr>
          <w:b/>
        </w:rPr>
        <w:t xml:space="preserve">Quelle: </w:t>
      </w:r>
      <w:r>
        <w:t>https://mcp.opencaselaw.ch/entscheid/ge_gerichte_A_400_2011</w:t>
      </w:r>
    </w:p>
    <w:p>
      <w:r>
        <w:t>FR: GE_GERICHTE A/400/2011 du 31 janvier 2011</w:t>
      </w:r>
    </w:p>
    <w:p>
      <w:r>
        <w:t>IT: GE_GERICHTE A/400/2011 del 31 gennaio 2011</w:t>
      </w:r>
    </w:p>
    <w:p>
      <w:pPr>
        <w:pStyle w:val="Heading2"/>
      </w:pPr>
      <w:r>
        <w:t>Regeste</w:t>
      </w:r>
    </w:p>
    <w:p>
      <w:r>
        <w:t>Abus de droit. Commandement de payer. | LP.28.1 ; CO.135.2 ; CC.2.2</w:t>
      </w:r>
    </w:p>
    <w:p>
      <w:pPr>
        <w:pStyle w:val="Heading2"/>
      </w:pPr>
      <w:r>
        <w:t>Erwägungen</w:t>
      </w:r>
    </w:p>
    <w:p>
      <w:r>
        <w:rPr>
          <w:b/>
        </w:rPr>
        <w:t>E. 1</w:t>
      </w:r>
    </w:p>
    <w:p>
      <w:r>
        <w:t>La présente Autorité de surveillance est compétente pour statuer sur les plaintes en matière d’exécution forcée et la présente plainte est dirigée contre une mesure de l'Office, soit la notification d'un commandement de payer, formée en temps utile et dans les formes prescrites par le débiteur poursuivi (art. 17 LP; art. 125 al. 2 et 126 al. 2 litt. c) LOJ ; art. 6 al. 3, 7 al. 1 et 9 LaLP). Elle sera donc déclarée recevable.</w:t>
      </w:r>
    </w:p>
    <w:p>
      <w:r>
        <w:rPr>
          <w:b/>
        </w:rPr>
        <w:t>E. 2.1</w:t>
      </w:r>
    </w:p>
    <w:p>
      <w:r>
        <w:t>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(ATF 115 III 18 consid. 3b, SJ 1989 p. 400, JdT 1991 II 76 ; ATF 113 III 2 , JdT 1989 II 121 ATF 112 III 47 consid. 1, JdT 1988 II 145 ; SJ 1987 p. 156). 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Pierre-Robert Gilliéron , Commentaire, ad Remarques introductives aux art. 38-45 n° 40 in fine ). Il en va de même du créancier qui, poursuivant une succession non partagée, désigne l’héritier auquel le commandement de payer doit être notifié en supposant qu’il ne fera pas opposition et en négligeant celui dont il est certain qu’il fera opposition (ATF 107 III 7, JdT 1983 II 35 ; cf. DCSO/511/03 du 13 novembre 2003). Constitue également un abus manifeste de droit, à sanctionner par la nullité de la poursuite, le fait d’intenter une poursuite dans le seul but de porter atteinte à la réputation et au crédit de la personne poursuivie (SJ 1987 p. 156 ; RFJ 2001 p. 331 ; Henri Deschenaux / Paul-Henri Steinauer ,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traduit in SJ 1989 p. 400 et in JdT 1991 II 76 ; cf. Pierre-Robert Gilliéron , Commentaire, ad art. 8a n° 36, ad art. 17 n° 23, ad Remarques introductives aux art. 38-45 n° 35 ss ; Karl Wüthrich / Peter Schoch , in SchKG I, ad art. 69 n° 15 s). 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l'Autorité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 DCSO/180/03 consid. 3.c in fine du 22 mai 2003; DCSO/524/2004 consid. 2.a. in fine du 28 octobre 2004). Dans un arrêt non publié du 28 juillet 2006 ( 7B.45/2006 ), le Tribunal fédéral a confirmé la décision de l'Autorité supérieure de surveillance du canton de Vaud, qui avait considéré que les conditions très restrictives posées par la jurisprudence pour l'annulation d'un commandement de payer n'étaient manifestement pas remplies en l'espèce. La Haute Cour a également considéré que les poursuivants n'avaient pas agi dans le but de nuire au poursuivi dans la mesure où ils lui avaient proposé de signer une déclaration de renonciation à la prescription et qu'ils avaient agi de la même manière à l'égard d'autres personnes dont la responsabilité pourrait être engagée.</w:t>
      </w:r>
    </w:p>
    <w:p>
      <w:r>
        <w:rPr>
          <w:b/>
        </w:rPr>
        <w:t>E. 2.2</w:t>
      </w:r>
    </w:p>
    <w:p>
      <w:r>
        <w:t>En l'espèce, il ressort du dossier que les parties sont en relation d'affaires dans le cadre d'une société commerciale constituée aux USA, qu'ils ont convenu de créer et d'exploiter ensemble. Il apparaît toutefois qu'une année après le début de l'exploitation de la succursale genevoise de cette société, les parties étaient en grave désaccord sur de nombreux points relatifs à cette exploitation. À tel point qu'il ressort en particulier du courrier du 8 novembre 2010 adressé par le poursuivant au poursuivi, que le premier n'entendait plus poursuivre une collaboration avec le second, au vu des nombreux manquements qu’il lui imputait dans l'exécution de leur convention conclue le 14 mai 2009. Il faisait alors à cet égard une créance en dommages-intérêts à l'encontre du poursuivi pour laquelle il entendait interrompre la prescription. Il proposait toutefois préalablement et par gain de paix au plaignant de mettre fin de concert à leur collaboration, pour éviter les procédures judiciaires qu'il envisageait d'initier à son encontre. Ce dernier n'a manifestement pas donné suite à cette proposition, puisque le commandement de payer litigieux lui a été notifié à la requête du cité, le 31 janvier 2011. En outre, le plaignant persiste à réclamer les comptes de la succursale et conteste tant le principe que la quotité des dommages-intérêts qui lui sont réclamés par le cité dans le cadre de la présente poursuite que le fait d'avoir adopté un quelconque comportement calomnieux et diffamant à l'égard dudit cité. Il ressort de ce qui précède, à la lumière des principes juridiques rappelés ci-dessus, que la prétention en dommages-intérêts du cité à l'encontre du plaignant n'apparaît pas manifestement dénuée de tout fondement, voire purement imaginaire, puisqu'elle découle de rapports contractuels associatifs et commerciaux qui devront être liquidés, vu la mésentente régnant entre les deux associés. Dans ce contexte, la notification d'un commandement de payer par le cité au plaignant ne peut être susceptible de constituer un abus de droit, d'autant plus que le poursuivant a préalablement informé le poursuivi de son intention d'interrompre la prescription - ce qui pouvait constituer la finalité dudit commandement de payer - et qu’il lui est encore loisible d'actionner le poursuivi en paiement aux fins de déterminer la quotité de sa créance alléguée à l'encontre du plaignant et de disposer d'un titre de mainlevée définitive de l'opposition de ce dernier dans le cadre d'une nouvelle poursuite. Il n'appartient en effet pas à l'Autorité de céans de statuer sur la validité de cette créance alléguée, qui relève exclusivement du droit matériel, les arguments des deux parties - qui ne paraissent pas être dénués de pertinence - devant être tranché sur le fond. En conséquence, on ne saurait admettre que le cité a agi dans le seul but de nuire au plaignant ; il a, en effet, d'abord cherché par d'autres moyens à préserver ses droits à l'encontre de ce dernier, soit en lui proposant de mettre fin à l'amiable à leurs rapports contractuels, en liquidant leur société et en récupérant leurs apports respectifs, proposition qui n'a pas été suivie d'effet. La quotité du montant réclamé, soit 100'000 fr. en l'état, ne suffit pas non plus à retenir que la poursuite litigieuse procéderait d'un abus de droit et que le cité aurait agi délibérément pour tourmenter le poursuivi en faisant valoir une prétention sans aucun fondement. En effet, cette créance en dommages-intérêts reste plausible au regard l'objectif contractuel de 200'000 fr. au moins convenu entre les deux associés dans le cadre de l'exploitation de la société qu'ils entendaient constituer et exploiter en commun. La présente plainte sera en conséquence rejetée.</w:t>
      </w:r>
    </w:p>
    <w:p>
      <w:r>
        <w:rPr>
          <w:b/>
        </w:rPr>
        <w:t>E. 3</w:t>
      </w:r>
    </w:p>
    <w:p>
      <w:r>
        <w:t>Il n'est pas perçu de dépens (art. 62 al. OELP). * * * * * PAR CES MOTIFS, L'Autorité de surveillance : A la forme : Déclare recevable la plainte formée le 10 février 2011 par M. C______ contre la notification par l'Office des poursuites, le 31 janvier 2011, sur réquisition de M. T______, du commandement de payer, poursuite n° 10 xxxx55 A. Au fond : Rejette cette plainte. Déboute les parties de toutes autres conclusions. Siégeant : Madame Valérie LAEMMEL-JUILLARD, présidente ; Messieurs Philipp GANZONI et Christian CHAVAZ, juges assesseurs ; Madame Paulette DORMAN, greffière. La présidente : Valérie LAEMMEL-JUILLARD La greffière : Paulette DORMAN Voie de recours : Le recours en matière civile au sens de l’art. 72 al. 2 let. a de la loi sur le Tribunal fédéral du 17 juin 2005 (LTF ; RS 173. 110 )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