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A/4006/2024 vom 23. Januar 2025</w:t>
      </w:r>
    </w:p>
    <w:p>
      <w:r>
        <w:t>GE Cour de justice, 2025-01-23, FR</w:t>
      </w:r>
    </w:p>
    <w:p>
      <w:r>
        <w:rPr>
          <w:b/>
        </w:rPr>
        <w:t xml:space="preserve">Quelle: </w:t>
      </w:r>
      <w:r>
        <w:t>https://mcp.opencaselaw.ch/entscheid/ge_gerichte_A_4006_2024</w:t>
      </w:r>
    </w:p>
    <w:p>
      <w:r>
        <w:t>FR: GE_GERICHTE A/4006/2024 du 23 janvier 2025</w:t>
      </w:r>
    </w:p>
    <w:p>
      <w:r>
        <w:t>IT: GE_GERICHTE A/4006/2024 del 23 gennaio 2025</w:t>
      </w:r>
    </w:p>
    <w:p>
      <w:pPr>
        <w:pStyle w:val="Heading2"/>
      </w:pPr>
      <w:r>
        <w:t>Erwägungen</w:t>
      </w:r>
    </w:p>
    <w:p>
      <w:r>
        <w:rPr>
          <w:b/>
        </w:rPr>
        <w:t>E. 1</w:t>
      </w:r>
    </w:p>
    <w:p>
      <w:r>
        <w:t>Les espaces destinés à l’utilisation de bureaux dans toute nouvelle construction doivent pouvoir être transformés en habitations sans que des travaux majeurs soient nécessaires dans les zones définies par un règlement d’application.</w:t>
      </w:r>
    </w:p>
    <w:p>
      <w:r>
        <w:rPr>
          <w:b/>
        </w:rPr>
        <w:t>E.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w:t>
      </w:r>
    </w:p>
    <w:p>
      <w:r>
        <w:rPr>
          <w:b/>
        </w:rPr>
        <w:t>E. 3.1</w:t>
      </w:r>
    </w:p>
    <w:p>
      <w:r>
        <w:t>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rPr>
          <w:b/>
        </w:rPr>
        <w:t>E. 3.2</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ACST/8/2023 du 1 er mars 2023 consid. 3b). En matière de contrôle abstrait des normes, l’octroi de l’effet suspensif suppose en outre, en principe, que les chances de succès du recours apparaissent manifestes ( ACST/20/2024 du 21 octobre 2024 consid. 3.2 ; Stéphane GRODECKI/ Romain JORDAN, Code annoté de procédure administrative genevoise, 2017, n. 835 ss ; Claude-Emmanuel DUBEY, La procédure de recours devant le Tribunal fédéral, in François BELLANGER/Thierry TANQUEREL [éd.], Le contentieux administratif, 2013, 137-178, p. 167).</w:t>
      </w:r>
    </w:p>
    <w:p>
      <w:r>
        <w:rPr>
          <w:b/>
        </w:rPr>
        <w:t>E. 3.3</w:t>
      </w:r>
    </w:p>
    <w:p>
      <w:r>
        <w:t>La restitution ou l’octroi de l'effet suspensif sont possibles quand bien même l’acte normatif attaqué est d'ores et déjà entré en vigueur, la restitution ou l’octroi de l'effet suspensif signifiant alors la suspension de toute mise en application des normes contestées ( ACST/4/2016 du 20 avril 2016 consid. 2b et les références citées).</w:t>
      </w:r>
    </w:p>
    <w:p>
      <w:r>
        <w:rPr>
          <w:b/>
        </w:rPr>
        <w:t>E. 3.4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(ATF 148 I 198 consid. 2.2 ; 146 I 70 consid. 4 ; 145 I 26 consid. 1.4 ; arrêt du Tribunal fédéral 2C_793/2020 du 8 juillet 2021 consid. 2 ; ACST/30/2024 du 19 décembre 2024 consid. 6).</w:t>
      </w:r>
    </w:p>
    <w:p>
      <w:r>
        <w:rPr>
          <w:b/>
        </w:rPr>
        <w:t>E. 4</w:t>
      </w:r>
    </w:p>
    <w:p>
      <w:r>
        <w:t>En l'espèce, le recours est dirigé contre les nouvelles dispositions de la LCI, en particuliers les art. 57A à 57C, soit une loi adoptée par le grand Conseil, acte visé à l’art. 57 let. d LPA, à l’encontre duquel le recours n’a pas d’effet suspensif (art. 66 al. 2 LPA). Il convient donc d’examiner s’il y a lieu de l’octroyer, ce qui, en matière de contrôle abstrait des normes, suppose en principe que les chances de succès du recours soient manifestes. Cette question n'a toutefois pas besoin d'être examinée in casu . En effet, l'intimé a indiqué que, pour pouvoir être conformes au droit supérieur, les dispositions attaquées devaient faire l'objet d'un règlement. Or, il ne ressort pas du dossier qu'un tel règlement aurait été adopté. Dès lors, la chambre de céans ne peut pas encore se prononcer sur la question de savoir si ces dispositions peuvent, sous l'angle de la vraisemblance, être appliquées de façon conforme au droit supérieur. En outre, comme l'a relevé l'intimé, en l'absence d'un règlement d'application, ces dispositions ne peuvent pas déployer d'effets concrets et sont en l'état inapplicables, alors même qu'elles sont déjà entrées en vigueur, alors qu'elles sont censées déployer des effets juridiques et qu'elles figurent dans la LCI depuis le 2 novembre 2024. Dès lors, la sécurité juridique et le principe de la légalité (art. 5 al. 1 de la Constitution fédérale de la Confédération suisse du 18 avril 1999 - Cst. - RS 101), selon lequel l'administration doit respecter la loi et s’en tenir à ses prescriptions (Thierry TANQUEREL, Manuel de droit administratif, 2 e éd., 2018, n. 467) commandent que l'application des dispositions litigieuses soit suspendue. Se pose également la question d’une éventuelle suspension de la présente cause dans l’attente du règlement d’application, question qui fera toutefois l’objet d’une instruction et d’une décision séparées. Pour le surplus, vu les circonstances, l'octroi de l'effet suspensif n'est pas susceptible de bloquer le processus législatif ou réglementaire. Par conséquent, il se justifie d'octroyer l'effet suspensif au recours, indépendamment des chances de succès au fond.</w:t>
      </w:r>
    </w:p>
    <w:p>
      <w:r>
        <w:rPr>
          <w:b/>
        </w:rPr>
        <w:t>E. 5</w:t>
      </w:r>
    </w:p>
    <w:p>
      <w:r>
        <w:t>Il sera statué sur les frais de la présente décision avec l’arrêt à rendre au fond. PAR CES MOTIFS LA CHAMBRE CONSTITUTIONNELLE octroie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Stéphane GRODECKI, avocat des recourants, au Grand Conseil ainsi qu’au Conseil d’État, pour information.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