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A/4001/2023 vom 13. Mai 2024</w:t>
      </w:r>
    </w:p>
    <w:p>
      <w:r>
        <w:t>GE Cour de justice, 2024-05-13, FR</w:t>
      </w:r>
    </w:p>
    <w:p>
      <w:r>
        <w:rPr>
          <w:b/>
        </w:rPr>
        <w:t xml:space="preserve">Quelle: </w:t>
      </w:r>
      <w:r>
        <w:t>https://mcp.opencaselaw.ch/entscheid/ge_gerichte_A_4001_2023</w:t>
      </w:r>
    </w:p>
    <w:p>
      <w:r>
        <w:t>FR: GE_GERICHTE A/4001/2023 du 13 mai 2024</w:t>
      </w:r>
    </w:p>
    <w:p>
      <w:r>
        <w:t>IT: GE_GERICHTE A/4001/2023 del 13 maggio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LPGA).</w:t>
      </w:r>
    </w:p>
    <w:p>
      <w:r>
        <w:rPr>
          <w:b/>
        </w:rPr>
        <w:t>E. 2</w:t>
      </w:r>
    </w:p>
    <w:p>
      <w:r>
        <w:t>Le litige porte sur le bien-fondé de la décision de l’intimé du 2 novembre 2023, déclarant le recourant inapte au placement dès le 1 er septembre 2023, au motif qu’il n’a pas d’autorisation de travailler lui permettant de changer d’emploi, étant relevé que le recourant admet son inaptitude au placement dès le 1 er avril 2024.</w:t>
      </w:r>
    </w:p>
    <w:p>
      <w:r>
        <w:rPr>
          <w:b/>
        </w:rPr>
        <w:t>E. 3.1</w:t>
      </w:r>
    </w:p>
    <w:p>
      <w:r>
        <w:t>L'assuré a droit à l'indemnité de chômage, entre autres conditions, s'il est apte au placement (art. 8 al. 1 let. f LACI [RS 837.0]). Selon l'art. 15 al. 1 LACI, est réputé apte à être placé le chômeur qui est disposé à accepter un travail convenable et à participer à des mesures d'intégration et qui est en mesure et en droit de le faire. L'aptitude au placement suppose, logiquement, que l'intéressé soit au bénéfice d'une autorisation de travail qui lui permette, le cas échéant, d'accepter l'offre d'un employeur potentiel. À défaut d'une telle autorisation, les organes de l'assurance-chômage ou, en cas de recours, le juge ont le pouvoir de trancher préjudiciellement le point de savoir si, au regard de la réglementation applicable, le ressortissant étranger serait en droit d'exercer une activité lucrative (ATF 120 V 378 consid. 3a). Il s'agit de déterminer - de manière prospective, sur la base des faits tels qu'ils se sont déroulés jusqu'au moment de la décision sur opposition (ATF 143 V 168 consid. 2 ; ATF 120 V 385 consid. 2) - si l'assuré, ressortissant étranger, pouvait ou non compter sur l'obtention d'une autorisation de travail (arrêt du Tribunal fédéral 8C_654/2019 du 14 avril 2020 consid. 2.1 et les références, in SVR 2020 ALV n° 17 p. 53 ; arrêt du Tribunal fédéral 8C_180/2022 du 28 octobre 2022 consid. 3.3.1).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de la loi fédérale sur les étrangers (LEtr devenue LEI ; RS 142.20), pour savoir si la personne intéressée peut s’attendre à obtenir une autorisation de travail (ATF 120 V 385 ; 392 consid. 2c p. 396). Dans le domaine de l’asile, la collaboration entre autorités est d’ailleurs facilitée. Pour qu’une indemnisation puisse avoir lieu, il faut que le droit de travailler existe, et ce pour chaque période concernée (DTA 1996/1997 p. 182 consid. 3a/aa p. 187). L’examen de l’aptitude au placement se fonde sur une appréciation prospective. Il convient donc de déterminer pour chaque période précise si l’assuré pouvait compter obtenir une autorisation de travailler (DTA 2002 p. 46 consid. 3a p. 48 ; p. 111 consid. 2a p. 112 ; arrêt du 11 juillet 2006 [C 168/05]). L’existence d’une telle autorisation à un moment donné ne permet ni à l’administration ni au juge d’admettre l’aptitude au placement pour une période antérieure durant laquelle cette autorisation n’aurait pas été délivrée (arrêt du 24 avril 2007 [C 248/06]). De même, le droit de prendre un emploi n’est pas immuable et peut disparaitre d’un jour à l’autre. Les conditions de résidence habituelle en Suisse au sens de l’art. 12 LACI et de l’autorisation de travailler (art. 15 al. 1 LACI) sont intimement liées (DTA 1996/1997 p. 183 consid. 3b p. 187) et doivent être remplies cumulativement durant toute la période d’indemnisation. Le droit de séjourner et le droit de travailler sont du reste intégrés au même document administratif. Dès que l’une de ces deux conditions fait défaut, le droit à l’indemnité doit être nié (arrêt du 26 août 2010 [ 8C_128/2010 ]). On peut déroger à ce principe lorsque l’autorisation de police des étrangers est échue mais que l’étranger a présenté dans les délais une demande de prolongation non vouée à l’échec (ATF 126 V 376 consid. 1c p. 378 ; DTA 1996/1997 p. 183 ; Boris RUBIN, Commentaire de la loi sur l’assurance-chômage, 2014, p. 169-170).</w:t>
      </w:r>
    </w:p>
    <w:p>
      <w:r>
        <w:rPr>
          <w:b/>
        </w:rPr>
        <w:t>E. 3.2</w:t>
      </w:r>
    </w:p>
    <w:p>
      <w:r>
        <w:t>Selon le Bulletin LACI, l'assuré de nationalité étrangère qui n'est pas titulaire d'une autorisation de travail est inapte au placement. Pour les étrangers sans permis d'établissement, le droit de travailler est subordonné à la possession d'une autorisation de séjour de la police des étrangers les habilitant à exercer une activité lucrative ou au renouvellement présumé de ladite autorisation. Les étrangers sans permis d'établissement doivent être titulaires d'une autorisation de travailler ou s'attendre à en recevoir une s'ils trouvent un emploi convenable. Les principes exposés à propos de l'exigence de domicile comme condition du droit à l'indemnité sont aussi applicables en l'occurrence - B137 ss (Bulletin LACI/IC, chiffre B230).</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5.1</w:t>
      </w:r>
    </w:p>
    <w:p>
      <w:r>
        <w:t>En l’occurrence, le recourant était titulaire, jusqu’au 31 mars 2024, d’une autorisation de séjour B liée à son ancien employeur B______ SA. Il ne bénéficiait pas d’une autorisation lui permettant de travailler pour un autre employeur. Il était soumis, en cas de nouvel engagement, à une nouvelle autorisation de travailler, comme l’ont confirmé l’OCPM et l’OCIRT.</w:t>
      </w:r>
    </w:p>
    <w:p>
      <w:r>
        <w:rPr>
          <w:b/>
        </w:rPr>
        <w:t>E. 5.2</w:t>
      </w:r>
    </w:p>
    <w:p>
      <w:r>
        <w:t>Quant aux chances d’obtenir une telle autorisation, l’OCIRT, interpellé par la chambre de céans, relève que selon l’expérience certaines demandes de changement d’emploi sont acceptées mais pas systématiquement et souligne qu’un tel changement dépend du préavis positif de la commission tripartite pour l’économie. Or, les circonstances du cas d’espèce permettent de retenir, au degré de la vraisemblance prépondérante, que le recourant pouvait compter sur la délivrance d’une autorisation de travailler en cas d’engagement par un nouvel employeur. En effet, d’une part, l’OCIRT a précisé que la commission tripartite pour l’économie tiendrait compte du fait que la demande ne nécessite pas une nouvelle prise d’une unité du contingent de permis B, d’autre part, l’hyper spécialisation du recourant, soit physicien d’accélérateur ‑ permettant au recourant selon l’OCIRT de briguer un poste qualifié au sens de l’art. 23 LEI - permet de retenir qu’il pouvait, non pas de façon certaine comme l’a indiqué l’OCIRT mais à tout le moins au degré de la vraisemblance prépondérante, compter sur l’obtention d’un préavis positif de la commission tripartite et, finalement, sur la délivrance d’une autorisation de travailler.</w:t>
      </w:r>
    </w:p>
    <w:p>
      <w:r>
        <w:rPr>
          <w:b/>
        </w:rPr>
        <w:t>E. 5.3</w:t>
      </w:r>
    </w:p>
    <w:p>
      <w:r>
        <w:t>Au vu de ce qui précède, le recourant doit être considéré comme apte au placement du 1 er septembre 2023 au 31 mars 2024.</w:t>
      </w:r>
    </w:p>
    <w:p>
      <w:r>
        <w:rPr>
          <w:b/>
        </w:rPr>
        <w:t>E. 6</w:t>
      </w:r>
    </w:p>
    <w:p>
      <w:r>
        <w:t>Partant, la décision de l’intimé sera annulée et il sera dit que le recourant est apte au placement du 1 er septembre 2023 au 31 mars 2024.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