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A/4001/2014 vom 28. Januar 2015</w:t>
      </w:r>
    </w:p>
    <w:p>
      <w:r>
        <w:t>GE Cour de justice, 2015-01-28, FR</w:t>
      </w:r>
    </w:p>
    <w:p>
      <w:r>
        <w:rPr>
          <w:b/>
        </w:rPr>
        <w:t xml:space="preserve">Quelle: </w:t>
      </w:r>
      <w:r>
        <w:t>https://mcp.opencaselaw.ch/entscheid/ge_gerichte_A_4001_2014</w:t>
      </w:r>
    </w:p>
    <w:p>
      <w:r>
        <w:t>FR: GE_GERICHTE A/4001/2014 du 28 janvier 2015</w:t>
      </w:r>
    </w:p>
    <w:p>
      <w:r>
        <w:t>IT: GE_GERICHTE A/4001/2014 del 28 gennaio 2015</w:t>
      </w:r>
    </w:p>
    <w:p>
      <w:pPr>
        <w:pStyle w:val="Heading2"/>
      </w:pPr>
      <w:r>
        <w:t>Erwägungen</w:t>
      </w:r>
    </w:p>
    <w:p>
      <w:r>
        <w:rPr>
          <w:b/>
        </w:rPr>
        <w:t>E. 4</w:t>
      </w:r>
    </w:p>
    <w:p>
      <w:r>
        <w:t>ème Chambre En la cause Monsieur A______, domicilié à VESSY recourant contre OFFICE DE L'ASSURANCE-INVALIDITE DU CANTON DE GENEVE, sis rue des Gares 12, GENÈVE intimé EN FAIT 1.        Par décision du 28 octobre 2014, l’office de l’assurance-invalidité du canton de Genève (ci-après l’intimé) a rejeté la demande de prestations de Monsieur A______ (ci-après l’assuré ou le recourant).![endif]&gt;![if&gt; 2.        Par courrier daté du 22 novembre 2014, posté le 27 décembre 2014, l'assuré a recouru contre cette décision auprès de la chambre des assurances sociales, faisant valoir qu’il considère cette décision non justifiée car ses douleurs et problèmes de l’épaule droite sont survenus après son accident du 26 septembre 2013. ![endif]&gt;![if&gt; 3.        Le 7 janvier 2015, la chambre des assurances sociales a invité le recourant à lui faire savoir s'il pouvait justifier d'un empêchement d'agir en temps utile.![endif]&gt;![if&gt; 4.        Par courrier posté le 16 janvier 2015, le recourant a indiqué qu’il s’agissait d’un oubli de sa part, dû à sa dépression et son état physique et psychique depuis son accident. Il a précisé qu’il a tendance à oublier parce qu’il prend plusieurs médicaments, qu’il est mélancolique et a des pensées suicidaires.![endif]&gt;![if&gt; 5.        Après communication de cette écriture à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Il convient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Toutefois,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En l'occurrence, il n'est pas contesté que le recours a été interjeté après le délai de 30 jours dès sa réception. Partant, il doit être considéré comme tardif.![endif]&gt;![if&gt; 5.        Reste à examiner si le recourant peut faire valoir des motifs justifiant une restitution du délai de recours.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![endif]&gt;![if&gt;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II 86 consid. 2 p. 87; 112 V 255 ; voir également arrêts 9C_209/2012 du 26 juin 2012 consid. 3.1 et 8C_767/2008 du 12 janvier 2009 consid. 5.3.1). 6.        En l'espèce, une restitution du délai de recours au sens de l'art. 41 al. 1 LPGA ne se justifie pas. En effet, quand bien même le recourant présentait un état dépressif et prenait des médicaments, la chambre de céans constate qu’il a été à même de rédiger un acte de recours le 22 novembre 2014, soit en temps utile, qu’il a toutefois oublié de poster. Par conséquent, il y a lieu d’admettre que nonobstant son état de santé, il a été en mesure d’accomplir l’acte de procédure en cause. Pour le surplus, l’on ne peut considérer que le recourant a été empêché sans sa faute d’agir dans le délai fixé, l’oubli n'étant pas considéré comme un motif valable de restitution.![endif]&gt;![if&gt; En l'absence de motif valable de restitution de délai, le recours doit être déclaré irrecevable pour cause de tardiveté.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