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A/4000/2020 vom 24. Dezember 2018</w:t>
      </w:r>
    </w:p>
    <w:p>
      <w:r>
        <w:t>GE Cour de justice, 2018-12-24, FR</w:t>
      </w:r>
    </w:p>
    <w:p>
      <w:r>
        <w:rPr>
          <w:b/>
        </w:rPr>
        <w:t xml:space="preserve">Quelle: </w:t>
      </w:r>
      <w:r>
        <w:t>https://mcp.opencaselaw.ch/entscheid/ge_gerichte_A_4000_2020</w:t>
      </w:r>
    </w:p>
    <w:p>
      <w:r>
        <w:t>FR: GE_GERICHTE A/4000/2020 du 24 décembre 2018</w:t>
      </w:r>
    </w:p>
    <w:p>
      <w:r>
        <w:t>IT: GE_GERICHTE A/4000/2020 del 24 dicembre 2018</w:t>
      </w:r>
    </w:p>
    <w:p>
      <w:pPr>
        <w:pStyle w:val="Heading2"/>
      </w:pPr>
      <w:r>
        <w:t>Regeste</w:t>
      </w:r>
    </w:p>
    <w:p>
      <w:r>
        <w:t>conflit d'intérêt de l'avocat; interdiction de postuler; poursuite abusive | Recours TF formé par le débiteur, | llca.12.letc; lp.27; aLaLPart.22.al1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à ces égards.</w:t>
      </w:r>
    </w:p>
    <w:p>
      <w:r>
        <w:rPr>
          <w:b/>
        </w:rPr>
        <w:t>E. 2</w:t>
      </w:r>
    </w:p>
    <w:p>
      <w:r>
        <w:t>Le plaignant invoque la nullité du séquestre et du commandement de payer, ainsi que de tous les actes d'exécution qui en découlent parce que ces actes ont été requis par un avocat ne disposant pas de la capacité de postuler et sont donc irrecevables. L'intimée considère que cette question ne relève pas de la compétence de la Chambre de surveillance, mais de la Commission du barreau. 2.1.1 En application de l'art. 12 let. c LLCA l'avocat exerce sa profession avec soin et diligence (let. a), exerce son activité professionnelle en toute indépendance (let. b) et évite tout conflit entre les intérêts de son client et ceux des personnes avec lesquelles il est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 2.1.2.1 La LLCA ne désigne pas l'autorité compétente habilitée à empêcher de plaider l'avocat confronté à un conflit d'intérêts, lorsqu'une procédure est en cours. L'art. 34 al. 1 LLCA prévoit au contraire que les cantons règlent la procédure. Selon les cantons, la décision initiale à ce sujet peut émaner soit de l'autorité disciplinaire compétente, soit de l'autorité judiciaire saisie du fond (ATF 138 II 162 consid. 2.5.1). A Genève, les compétences dévolues à l'autorité de surveillance ont été confiées à la Commission du barreau par la loi sur la profession d'avocat (art. 14 LPAv). Cette loi prévoit également à son art. 43 al. 3 que la Commission du barreau peut prononcer des injonctions propres à imposer à l'avocat le respect des règles professionnelles. Jusqu'à l'entrée en vigueur des codes fédéraux de procédures civile et pénale, les conflits d'intérêts entre l'avocat et son client ainsi que la capacité de postuler de l'avocat étaient tranchés exclusivement par la Commission du barreau sur la base de cette disposition. 2.1.2.2 Depuis lors, la jurisprudence fédérale a modifié cette pratique en raison de l'entrée en vigueur des codes fédéraux de procédures civile et pénale en 2011 et la force dérogatoire du droit fédéral (art. 49 al. 1 Cst féd.). En considérant quela décision sur la capacité de postuler de l'avocat dans un cas concret ne relève en principe pas du domaine disciplinaire, mais du contrôle du pouvoir de postuler de l'avocat et qu'elle vise à garantir le bon déroulement de la procédure (notamment en raison des conséquences de la capacité de postuler de l'avocat sur la validité des actes procéduraux auxquels il a participé), le Tribunal fédéral a considéré qu'en droit fédéral de procédure l'autorité saisie du fond du litige était la plus à même de connaître de cet objet (ATF 138 II 162 consid. 2.5.1; arrêt du Tribunal fédéral 5A_485/2020 du 25 mars 2021 consid. 6). En procédures pénale et civile la compétence pour effectuer ce contrôle concret au cours d'un litige pendant devant une autorité judiciaire appartient donc à cette dernière en vertu du droit fédéral et non à la Commission du barreau (pour la procédure pénale : ATF 141 IV 257 consid. 2.2, arrêts 1B_191/2020 du 26 août 2020 consid. 4.1.2 et 1B_582/2019 du 20 mars 2020 consid 4 et 5.1; pour la procédure civile : arrêt du Tribunal fédéral 5A_485/2020 du 25 mars 2021 consid. 6). 2.1.2.3 En procédure administrative cantonale – laquelle relève de la compétence législative du canton et s'applique en matière de surveillance des Offices cantonaux des poursuites et faillites à teneur de l'art. 9 al. 4 LALP – la compétence de la Commission du barreau pour statuer sur la capacité à postuler de l'avocat reste en revanche la règle selon la jurisprudence récente de la Chambre administrative de la Cour de justice ( ATA/1120/2020 du 10 novembre 2020 consid. 9; ATA/661/2018 du 26 juin 2018 consid. 5d; ATA/283/2017 du 14 mars 2017 consid. 12). 2.1.2.4 En matière de poursuite, pour les actes effectués devant l'Office, auxquels les règles spécifiques de droit fédéral de la LP s'appliquent, il appartient à l'autorité de surveillance de se prononcer sur plainte (art. 17 LP; cf. infra consid. 2.1.3.2). 2.1.3.1 En matière civile, la capacité de postuler est une condition de recevabilité de la demande (art. 59 al. 1 CPC). Partant, si la capacité de postuler est déniée à l'avocat qui dépose une demande pour le compte d'un client, un délai doit être fixé à la partie concernée pour remédier à l'irrégularité (art. 132 CPC par analogie; arrêts 5A_485/2020 du 25 mars 2021 consid. 6.3; 4A_87/2012 du 10 avril 2012 consid. 3.2.3). 2.1.3.2 En matière de poursuite, il n'existe vraisemblablement pas de jurisprudence spécifique sur les effets de l'interdiction de postuler de l'avocat sur les actes qu'il a formés en situation de conflit d'intérêt devant l'Office. Il convient de régler cette situation par analogie avec l'avocat qui n'est pas autorisé à pratiquer ou qui agit sans mandat. L'Office saisi d'une réquisition de poursuite n'a pas à vérifier d'office les pouvoirs du mandataire. Il doit se limiter à vérifier s'il dispose de tous les éléments qui doivent figurer sur la réquisition (art. 67 al. 1 LP) et qui lui permettent de rédiger le commandement de payer (art. 69 al. 2 LP), en particulier les indications concernant le créancier, cas échéant son mandataire (avocat ayant qualité selon le droit cantonal pour exercer la représentation professionnelle de parties ou toute autre personne répondant aux conditions posées par l'art. 27 LP). S'il n'a aucune raison d'avoir de doutes, il n'a pas à procéder à d'autres contrôles. Le défaut de pouvoirs de représentation, notamment de l'avocat, est un moyen qui doit être soulevé par la voie de la plainte auprès de l'autorité de surveillance. La réquisition de poursuite déposée par un représentant sans pouvoirs est valable si le représenté l'approuve dans la procédure de plainte (ATF 130 III 231 consid. 2.1; 107 III 49 consid. 1 = JdT 1983 II 46; 84 III 72 consid. 1; Ruedin, Commentaire Romand, Poursuites et faillites, 2005, n° 14-15 ad art. 67 LP; Gilliéron, Commentaire de la loi fédérale sur la poursuite pour dettes et la faillite, n° 31 ad art. 67 LP).</w:t>
      </w:r>
    </w:p>
    <w:p>
      <w:r>
        <w:rPr>
          <w:b/>
        </w:rPr>
        <w:t>E. 2.2</w:t>
      </w:r>
    </w:p>
    <w:p>
      <w:r>
        <w:t>En l'espèce, il faut distinguer la question de la capacité de postuler de Me D______ pour la requête en séquestre et pour la réquisition de poursuite.</w:t>
      </w:r>
    </w:p>
    <w:p>
      <w:r>
        <w:rPr>
          <w:b/>
        </w:rPr>
        <w:t>E. 2.2.1</w:t>
      </w:r>
    </w:p>
    <w:p>
      <w:r>
        <w:t>Pour la première, il appartient en premier lieu au juge du séquestre, respectivement de l'opposition au séquestre, de statuer sur la base de sa compétence en matière de procédure civile sur la capacité de postuler de Me D______ et d'en tirer les conséquences sur la validité du séquestre. Contrairement à ce que soutient le plaignant, l'interdiction de postuler de l'avocat n'entraîne pas la nullité absolue de l'autorisation de séquestre et des actes d'exécution ultérieurs au sens de l'art. 22 LP. En effet, il découle des principes exposés ci-dessus que, tant sur le plan civil qu'en matière de poursuites, les actes déposés par un avocat frappé d'incapacité de postuler peuvent être ratifiés et rectifiés par le client et ne sont pas radicalement nuls. Il n'appartient donc pas à la Chambre de surveillance de constater la nullité du procès-verbal de séquestre à ce stade, car elle n'est pas acquise et dépend de la décision du juge civil saisi de l'opposition au séquestre. Il appartiendra ainsi à l'Office de lever le séquestre si l'opposition devait être admise, au motif que la requête de séquestre aurait été déposée par un avocat frappé d'incapacité de postuler.</w:t>
      </w:r>
    </w:p>
    <w:p>
      <w:r>
        <w:rPr>
          <w:b/>
        </w:rPr>
        <w:t>E. 2.2.2</w:t>
      </w:r>
    </w:p>
    <w:p>
      <w:r>
        <w:t>S'agissant de la réquisition de poursuite, il appartient en revanche bien à la Chambre de surveillance de statuer, sur plainte, à propos de la capacité de postuler de l'avocat et de ses conséquences sur la validité de la poursuite consécutive. A cet égard, il faut relever que ce sont les actes devant l'Office qui sont visés par le grief d'incapacité de postuler de l'avocat et non pas les actes devant l'autorité de surveillance, car un autre avocat représente désormais la créancière, auquel il n'est reproché aucun conflit d'intérêt. Ce ne sont donc pas les règles en matière de procédure administrative – applicables devant l'autorité de surveillance – qui gouvernent cet incident, mais les règles applicables devant les Offices, soit celles de la LP. Le nouveau conseil de la créancière a adopté une position dans la procédure sur plainte qui confirme la volonté de sa cliente de requérir la poursuite du plaignant. Il en résulte qu'une éventuelle incapacité de postuler de l'ancien avocat de la créancière qui avait requis la poursuite est réparée par la ratification par le nouveau conseil de B______ de la réquisition de poursuite. Cette dernière est par conséquent valable.</w:t>
      </w:r>
    </w:p>
    <w:p>
      <w:r>
        <w:rPr>
          <w:b/>
        </w:rPr>
        <w:t>E. 2.3</w:t>
      </w:r>
    </w:p>
    <w:p>
      <w:r>
        <w:t>Les conclusions en constat de la nullité de la réquisition de poursuite et de la requête en séquestre – ainsi que de celle des actes de poursuite ultérieurs, dont le commandement de payer et le procès-verbal de séquestre – pour incapacité de postuler du premier avocat de la créancière seront partant rejetées.</w:t>
      </w:r>
    </w:p>
    <w:p>
      <w:r>
        <w:rPr>
          <w:b/>
        </w:rPr>
        <w:t>E. 3</w:t>
      </w:r>
    </w:p>
    <w:p>
      <w:r>
        <w:t>Le plaignant invoque le caractère abusif de la poursuite et sa nullité parce que la créance invoquée n'existe pas et que les factures sur lesquelles elle se fonde n'ont été émises qu'à des fins de représailles en raison de la dénonciation auprès de la Commission de surveillance des professions de la santé et des droits des patients. L'intimée considère qu'un tel grief n'est pas de la compétence des autorités de poursuite mais du juge et qu'en tout état les factures sont le reflet de prestations fournies.</w:t>
      </w:r>
    </w:p>
    <w:p>
      <w:r>
        <w:rPr>
          <w:b/>
        </w:rPr>
        <w:t>E. 3.1</w:t>
      </w:r>
    </w:p>
    <w:p>
      <w:r>
        <w:t>Sont nulles les poursuites introduites en violation du principe de l'interdiction de l'abus de droit, tel qu'il résulte de l'art. 2 al. 2 CC (ATF 140 III 481 consid. 2.3.1). La nullité doit être constatée en tout temps et même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Il est donc pratiquement exclu que le créancier obtienne de manière abusive l'émission d'un commandement de payer.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w:t>
      </w:r>
    </w:p>
    <w:p>
      <w:r>
        <w:rPr>
          <w:b/>
        </w:rPr>
        <w:t>E. 3.2</w:t>
      </w:r>
    </w:p>
    <w:p>
      <w:r>
        <w:t>En l'espèce, le plaignant soulève des arguments de fonds en lien avec l'existence de la créance en poursuite qui ne concernent en principe ni l'Office, ni l'autorité de surveillance, mais le juge. Il ne démontre pas, ni même ne rend vraisemblable, que la démarche de la créancière s'inscrirait dans un processus d'actes purement chicaniers et qu'elle utiliserait de manière abusive le droit de l'exécution forcée. Au vu des affirmations de la créancière selon lesquelles toutes les factures correspondent à des prestations réelles, le plaignant devait démontrer le contraire et établir que les démarches en exécution forcée de la créancière, totalement infondées, avaient pour seul but de lui nuire. Or, il se limite à des allégations qui ne sont en rien étayées. Les conditions particulièrement restrictives auxquelles l'Office ou l'autorité de surveillance peuvent refuser d'exécuter des actes de poursuite au motif qu'ils seraient abausifs ne sont donc pas réunies en l'espèce. La plainte doit par conséquent être rejetée en tant qu'elle conclut à la nullité des actes attaqués pour leur caractère abusif.</w:t>
      </w:r>
    </w:p>
    <w:p>
      <w:r>
        <w:rPr>
          <w:b/>
        </w:rPr>
        <w:t>E. 4</w:t>
      </w:r>
    </w:p>
    <w:p>
      <w:r>
        <w:t>La procédure de plainte est gratuite (art. 20a al. 2 ch. 5 LP; art. 61 al. 2 let. a OELP) et ne donne pas lieu à l'allocation de dépens (art. 62 al. 2 OELP). La partie ou son représentant qui use de procédés téméraires ou de mauvaise foi peut être condamné à une amende de 1'500 fr. au plus ainsi qu'au paiement des émoluments et débours (art. 20a al. 3 ch. 5, deuxième phrase, LP). Agit de manière téméraire ou contraire à la bonne foi celui qui, sans motifs valables, forme une plainte qui d'un point de vue objectif n'a aucune chance de succès. Il faut au surplus que la personne agisse à dessein de manière téméraire. Un simple manquement aux convenances ne suffit pas (ATF 127 III 178 ATF 111 Ia 148 , JdT 1985 I 584; Erard, Commentaire Romand, Poursuite et faillite, 2005, n° 45 ad art. 20a LP). Si les griefs du plaignant ont été rejetés, ils n'en sont pas pour autant téméraires ou contraire à la bonne foi au sens décrit ci-dessus. Il ne sera par conséquent pas donné suite aux conclusions de la créancière visant à ce que les frais et débours de la procédure soient mis à charge du plaignant. * * * * * PAR CES MOTIFS, La Chambre de surveillance : A la forme : Déclare recevable la plainte du 27 novembre 2020 de A______ contre le procès-verbal de séquestre n° 1______ du 16 janvier 2019 et le commandement de payer, poursuite n° 2______, du 6 mars 2020. Au fond : La rejette. Déboute les parties de toutes autres conclusions. Siégeant : Monsieur Jean REYMOND, président; Madame Ekaterine BLINOVA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