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A/3990/2024 vom 9. September 2025</w:t>
      </w:r>
    </w:p>
    <w:p>
      <w:r>
        <w:t>GE Cour de justice, 2025-09-09, FR</w:t>
      </w:r>
    </w:p>
    <w:p>
      <w:r>
        <w:rPr>
          <w:b/>
        </w:rPr>
        <w:t xml:space="preserve">Quelle: </w:t>
      </w:r>
      <w:r>
        <w:t>https://mcp.opencaselaw.ch/entscheid/ge_gerichte_A_3990_2024</w:t>
      </w:r>
    </w:p>
    <w:p>
      <w:r>
        <w:t>FR: GE_GERICHTE A/3990/2024 du 9 septembre 2025</w:t>
      </w:r>
    </w:p>
    <w:p>
      <w:r>
        <w:t>IT: GE_GERICHTE A/3990/2024 del 9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art. 63 al. 1 let. a de la loi sur la procédure administrative du 12 septembre 1985 ‑ LPA ‑ E 5 10).</w:t>
      </w:r>
    </w:p>
    <w:p>
      <w:r>
        <w:rPr>
          <w:b/>
        </w:rPr>
        <w:t>E. 2</w:t>
      </w:r>
    </w:p>
    <w:p>
      <w:r>
        <w:t>Le litige porte sur le refus de l’OCPM d’octroyer une autorisation de séjour à la recourante ainsi que sur son renvoi.</w:t>
      </w:r>
    </w:p>
    <w:p>
      <w:r>
        <w:rPr>
          <w:b/>
        </w:rPr>
        <w:t>E. 2.1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12 ALCP et 2 al. 2 LEI).</w:t>
      </w:r>
    </w:p>
    <w:p>
      <w:r>
        <w:rPr>
          <w:b/>
        </w:rPr>
        <w:t>E. 2.2</w:t>
      </w:r>
    </w:p>
    <w:p>
      <w:r>
        <w:t>En l'occurrence, la recourante est de nationalité bulgare, de sorte que sa situation est réglée par l'ALCP et l'OLCP, notamment l'Annexe I de l'Accord (art. 3, 4 et 6 ALCP).</w:t>
      </w:r>
    </w:p>
    <w:p>
      <w:r>
        <w:rPr>
          <w:b/>
        </w:rPr>
        <w:t>E. 3</w:t>
      </w:r>
    </w:p>
    <w:p>
      <w:r>
        <w:t>Les droits d'entrée, de séjour et d'accès à une activité économique conformément à l'ALCP, y compris le droit de demeurer sur le territoire d'une partie contractante après la fin d'une activité économique, sont réglés par l'Annexe I de l'accord (art. 3, 4 et 7 let. c ALCP).</w:t>
      </w:r>
    </w:p>
    <w:p>
      <w:r>
        <w:rPr>
          <w:b/>
        </w:rPr>
        <w:t>E. 3.1</w:t>
      </w:r>
    </w:p>
    <w:p>
      <w:r>
        <w:t>Selon l'art. 6 al. 1 Annexe I ALCP,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caractère automatique de la prolongation n’empêche cependant pas la révocation ou le refus de prolongation de l’autorisation de séjour si les conditions requises pour sa délivrance ne sont plus remplies (cf. art. 23 OLCP). Selon l'art. 6 al.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w:t>
      </w:r>
    </w:p>
    <w:p>
      <w:r>
        <w:rPr>
          <w:b/>
        </w:rPr>
        <w:t>E. 3.2</w:t>
      </w:r>
    </w:p>
    <w:p>
      <w:r>
        <w:t>La qualité de travailleur salarié constitue une notion autonome de droit de l'Union européenne (UE), qui doit s'interpréter en tenant compte de la jurisprudence de la Cour de justice de l'Union européenne (ci-après: la Cour de justice) (ATF 140 II 460 consid. 4.1 ; 131 II 339 consid. 3.1). Cette notion doit être interprétée de façon extensive.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toutefois l'exercice d'activités réelles et effectives, à l'exclusion d'activités tellement réduites qu'elles se présentent comme purement marginales et accessoires (ATF 141 II 1 consid. 2.2.4 ; 131 II 339 consid. 3.2 ; arrêt 2C_322/2020 du 24 juillet 2020 consid. 3.5.1). Pour apprécier si l'activité exercée est réelle et effective, il faut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références citées ; arrêt du Tribunal fédéral 2C_761/2015 du 21 avril 2016 consid. 4.2.2). À cet égard, le Tribunal fédéral a eu l'occasion de préciser qu'un travail exercé au taux de 80% pour un salaire mensuel de CHF 2'532.65 ne représentait pas un emploi à tel point réduit ou une rémunération si basse qu'il s'agirait d'une activité purement marginale et accessoire sortant du champ d'application de l'art. 6 Annexe I ALCP (arrêt du Tribunal fédéral 2C_1061/2013 du 14 juillet 2015 consid. 4.4). En revanche, le Tribunal fédéral a considéré qu'une activité à taux partiel donnant lieu à un salaire mensuel d'environ CHF 600.- à 800.- apparaissait tellement réduite et peu rémunératrice qu'elle devait être tenue pour marginale et accessoire (arrêt du Tribunal fédéral 2C_1137/2014 du 6 août 2015 consid. 4.4). S'agissant des emplois d'insertion, le Tribunal fédéral a jugé qu'aucun motif de principe ne s'oppose à ce que des activités rémunérées proposées aux bénéficiaires de l'aide sociale dans le but de réinsertion sur le marché général de l'emploi soient réelles et effectives. Il a toutefois relevé que la notion d'activités réelles et effectives implique une appréciation au cas par cas, en fonction de toutes les circonstances d'espèce, ayant trait à la nature tant des activités concernées que de la relation de travail en cause (arrêts du Tribunal fédéral 2C_374/2018 du 15 août 2018 consid. 5.3.1 ; 2C_761/2015 du 21 avril 2016 consid. 4.5 concernant un emploi d'insertion dont le salaire mensuel s'élevait à CHF 3'000.-).</w:t>
      </w:r>
    </w:p>
    <w:p>
      <w:r>
        <w:rPr>
          <w:b/>
        </w:rPr>
        <w:t>E. 3.3</w:t>
      </w:r>
    </w:p>
    <w:p>
      <w:r>
        <w:t>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(ATF 144 II 121 consid. 3.1 in RDAF 2019 I p. 534 ; 141 II 1 consid. 2.2.1 ; ATA/156/2020 du 11 février 2020 consid. 5b).</w:t>
      </w:r>
    </w:p>
    <w:p>
      <w:r>
        <w:rPr>
          <w:b/>
        </w:rPr>
        <w:t>E. 3.4</w:t>
      </w:r>
    </w:p>
    <w:p>
      <w:r>
        <w:t>En l’espèce, la recourante s’est vue délivrer une autorisation de séjour UE/AELE d’une durée de cinq ans, soit jusqu’au 5 juillet 2022. La question qui se pose est de savoir si l'intéressée a perdu la qualité de travailleuse salariée. Il ressort de l’extrait de son compte individuel, qu’hormis un emploi de courte durée en 2018 ayant généré un revenu total de CHF 2'400.-, la recourante n’a plus exercé d’activité professionnelle depuis 2017, à l’exception de quelques mois de stage en 2022 et 2023. Elle a perçu des indemnités de chômage en 2018 et 2019, puis s’est trouvée entièrement prise en charge par l’hospice. Il convient donc de considérer qu’au plus tard à fin 2019, elle ne pouvait plus être qualifiée de travailleuse au sens de l’ALCP. En effet, à ce moment-là, elle avait épuisé son droit aux indemnités de chômage et émargeait à l’aide sociale. De plus, elle ne semblait pas être en mesure de trouver un emploi durable au regard des deux ans passés sans activité lucrative et de son manque de qualification professionnelle. Devant la chambre de céans, elle se prévaut d’un contrat de stage qu’elle serait sur le point de signer pour une durée de douze semaines. Or, outre le fait qu’une telle activité ne saurait être considérée comme étant réelle et effective au sens de la jurisprudence précitée, elle ne suffit à l’évidence pas pour retenir qu’il existe une perspective réelle qu’elle soit engagée à nouveau dans un laps de temps raisonnable. On ne trouve en particulier au dossier aucune promesse d’engagement à court terme lui permettant de sortir définitivement et durablement de l’aide sociale. Quant à l’argument tiré de la nécessité de s’occuper de son père depuis 2019, il ne permet pas de justifier, au regard des dispositions précitées, l’absence d’activité lucrative durant cette période, ce d’autant plus que d’autres membres de la famille, vivant dans le même foyer, auraient été en mesure de l’assister. Force est dès lors d'admettre que la recourante a perdu sa qualité de travailleuse au sens des dispositions de l'ALCP. Les conditions pour le renouvellement de son autorisation de séjour sous l’angle de l'art. 6 § 1 Annexe I ALCP ne sont dès lors plus remplies.</w:t>
      </w:r>
    </w:p>
    <w:p>
      <w:r>
        <w:rPr>
          <w:b/>
        </w:rPr>
        <w:t>E. 4</w:t>
      </w:r>
    </w:p>
    <w:p>
      <w:r>
        <w:t>Il convient donc d’examiner si elle remplit les conditions de l’art. 24 § 1 Annexe I ALCP.</w:t>
      </w:r>
    </w:p>
    <w:p>
      <w:r>
        <w:rPr>
          <w:b/>
        </w:rPr>
        <w:t>E. 4.1</w:t>
      </w:r>
    </w:p>
    <w:p>
      <w:r>
        <w:t>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 2C_567/2017 du 5 mars 2018 consid. 5.1).</w:t>
      </w:r>
    </w:p>
    <w:p>
      <w:r>
        <w:rPr>
          <w:b/>
        </w:rPr>
        <w:t>E. 4.2</w:t>
      </w:r>
    </w:p>
    <w:p>
      <w:r>
        <w:t>Selon l'art. 16 al. 1 OLCP, les moyens financiers sont réputés suffisants s’ils dépassent les prestations d'assistance qui seraient allouées en vertu des directives « Aide sociale : concepts et normes de calcul » de la Conférence suisse des institutions d'action sociale,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(ATF 144 II 113 consid. 4.1 ; 142 II 35 consid. 5.1 ; arrêt du Tribunal fédéral 2C_987/2019 du 8 juillet 2020 consid. 5.1).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du 2 novembre 20215 consid. 3.4.2).</w:t>
      </w:r>
    </w:p>
    <w:p>
      <w:r>
        <w:rPr>
          <w:b/>
        </w:rPr>
        <w:t>E. 4.3</w:t>
      </w:r>
    </w:p>
    <w:p>
      <w:r>
        <w:t>En l’espèce, la recourante se trouve entièrement à la charge de l’hospice depuis plus de six ans – pour un montant ascendant, au 19 octobre 2024, à plus de CHF 83'000.- – et n’indique pas bénéficier d’autres sources de revenu, voire d’une fortune. Ainsi, dans la mesure où la couverture des besoins minimaux de la recourante nécessite le versement de prestations financières de l’hospice, elle ne peut pas se prévaloir de l'art. 24 § 1 annexe I ALCP et de l’art. 16 OLCP pour obtenir une autorisation de séjour.</w:t>
      </w:r>
    </w:p>
    <w:p>
      <w:r>
        <w:rPr>
          <w:b/>
        </w:rPr>
        <w:t>E. 5</w:t>
      </w:r>
    </w:p>
    <w:p>
      <w:r>
        <w:t>Reste à examiner si la recourante peut, à un autre titre, obtenir le renouvellement de son autorisation de séjour.</w:t>
      </w:r>
    </w:p>
    <w:p>
      <w:r>
        <w:rPr>
          <w:b/>
        </w:rPr>
        <w:t>E. 5.1</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w:t>
      </w:r>
    </w:p>
    <w:p>
      <w:r>
        <w:rPr>
          <w:b/>
        </w:rPr>
        <w:t>E. 5.2</w:t>
      </w:r>
    </w:p>
    <w:p>
      <w:r>
        <w:t>Selon l’art. 31 al. 1 OASA,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w:t>
      </w:r>
    </w:p>
    <w:p>
      <w:r>
        <w:rPr>
          <w:b/>
        </w:rPr>
        <w:t>E. 5.3</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Tribunal administratif fédéral C-5414/2013 du 30 juin 2015 consid. 5.1.4 ; C-6379/2012 et C-6377/2012 du 17 novembre 2014 consid. 4.3). La durée de présence en Suisse d’un étranger constitue un critère très important. Les mesures d’éloignement sont ainsi soumises à des conditions d’autant plus strictes que l’intéressé a séjourné en Suisse durant une longue période (ATF 135 II 377 consid. 4.4 et 4.5 ; arrêts du Tribunal fédéral 2C_789/2014 du 20 février 2015 consid. 5.3). Le renvoi d’étrangers vivant depuis longtemps en Suisse, voire ceux qui y sont nés et y ont passé toute leur existence, n’est exclu ni par l’ALCP, ni par la CEDH (ATF 130 II 176 consid. 4.4 et les références citées ; arrêt du Tribunal fédéral 2C_401/2012 du 18 septembre 2012 consid. 3.3). À cet égard, les années passées en Suisse dans l’illégalité, en prison ou au bénéfice d’une simple tolérance ne sont pas déterminantes dans la pesée des intérêts (ATF 134 II 10 consid. 4.3 ; arrêt du Tribunal fédéral 2C_317/2012 du 17 octobre 2012 consid. 3.7.1).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Le Tribunal fédéral a considéré que cette pratique différenciée réalisait la prise en compte de l'intérêt supérieur de l'enfant (arrêts du Tribunal fédéral 2A.679/2006 du 9 février 2007 consid. 3 ; 2A.43/2006 du 31 mai 2006 consid. 3.1 ; ATA/394/2023 précité consid. 2.7 ; ATA/434/2020 précité consid. 10a).</w:t>
      </w:r>
    </w:p>
    <w:p>
      <w:r>
        <w:rPr>
          <w:b/>
        </w:rPr>
        <w:t>E. 5.4</w:t>
      </w:r>
    </w:p>
    <w:p>
      <w:r>
        <w:t>Même si le droit interne ne confère pas de droit au regroupement familial, il est admis que l'art. 8 de la Convention européenne des droits de l'homme (CEDH - RS 0.101) peut conférer, à certaines conditions, un droit de séjourner en Suisse aux enfants étrangers encore mineurs, notamment si leurs parents disposent d'un droit certain à une autorisation de séjour, soit d'un droit de présence assuré en Suisse leur permettant de résider durablement dans le pays (cf. ATF 146 I 185 consid. 6.1 ; 137 I 284 consid. 2.6 ; 135 I 143 consid. 1.3.1 ; 130 II 281 consid. 3.2.2 ; 122 II 1 consid. 1e). L'art. 8 CEDH vise en premier lieu la famille dite nucléaire, c'est-à-dire la communauté formée par les parents et leurs enfants mineurs (ATF 144 II 1 consid. 6.1 ; 140 I 77 consid. 5.2 ; 137 I 113 consid. 6.1). Le Tribunal fédéral admet toutefois qu'un étranger peut, exceptionnellement et à des conditions restrictives, déduire un droit à une autorisation de séjour de l'art. 8 § 1 CEDH, s'il existe un rapport de dépendance particulier entre lui et un proche parent (hors famille nucléaire), notamment un enfant majeur, au bénéfice d'un droit de présence assuré en Suisse, par exemple en raison d'un handicap - physique ou mental - ou d'une maladie grave dont il souffrirait (cf. ATF 144 II 1 consid. 6.1; 140 I 77 consid. 5.2 ; arrêts du Tribunal fédéral 2C_279/2021 du 16 novembre 2021 consid. 4.2 ; 2C_433/2021 du 21 octobre 2021 consid. 6.1 et autres références citées). Sous l'angle étroit de la protection de la vie privée,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(cf. ATF 130 II 281 consid. 3.2.1).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considérant la durée du séjour en Suisse comme un élément parmi d'autres (cf. ATF 130 II 281 consid. 3.2.1 ; arrêt du Tribunal fédéral 2C_831/2014 du 4 mars 2015 consid. 5.2).</w:t>
      </w:r>
    </w:p>
    <w:p>
      <w:r>
        <w:rPr>
          <w:b/>
        </w:rPr>
        <w:t>E. 6</w:t>
      </w:r>
    </w:p>
    <w:p>
      <w:r>
        <w:t>Dans le cas particulier, la recourante se prévaut de la durée de son séjour en Suisse et le fait qu’elle y a passé son adolescence, son intégration scolaire, les attaches familiales, les difficultés auxquelles elle serait confrontée en cas de retour dans son pays d’origine et l’état de santé de son père. Arrivée en octobre 2004 avec ses parents, elle a d’abord obtenu une carte de légitimation du DFAE, puis une autorisation de séjour, valable jusqu’au 5 juillet 2022. À ce jour, elle totalise ainsi près de vingt et un ans de séjour en Suisse, ce qui constitue sans conteste une durée importante. S’ajoute à cela que la recourante est arrivée en Suisse à l’âge de 12 ans. Elle a ainsi passé son adolescence en Suisse, soit une période jugée essentielle pour la formation de la personnalité. Cette longue durée de séjour doit toutefois être relativisée, dès lors que, de 2004 à 2017, il a été effectué au bénéfice d’une carte de légitimation. En effet, selon la jurisprudence, la durée du séjour accompli à ce titre n'est en principe pas déterminante pour la reconnaissance d'un cas individuel d'extrême gravité au sens de l'art. 30 al. 1 let. b LEI. En effet, compte tenu de leur caractère temporaire, les séjours sous carte de légitimation du DFAE ne sauraient être pris en considération, pas plus que les séjours précaires (cf. notamment ATAF 2007/45 consid. 6.3 ; 2007/44 consid. 4.3 et 5.2 ; 2007/16 consid. 5.4; voir également l'arrêt du TAF C-2146/2012 du 15 octobre 2013 consid. 6.2). La présence en Suisse d'un étranger qui y séjourne au bénéfice d'une carte de légitimation du DFAE est en effet liée à la fonction occupée par lui-même ou le membre de sa famille (cf. arrêts du Tribunal fédéral 2D_3/2024 du 2 mai 2024 consid. 1.2.1 ; 2C_1023/2016 du 11 avril 2017 consid. 6.3; 2C_360/2016 du 31 janvier 2017 consid. 5.4). Il s’ensuit que la recourante ne saurait tirer parti de la seule durée de son séjour en Suisse pour bénéficier d'une dérogation aux conditions d'admission. La durée de son séjour en Suisse, accompli en partie durant la période d’adolescence, constituent ainsi des éléments à prendre en considération dans l’appréciation de l’ensemble de sa situation. Or, comme l’a relevé l’autorité intimée, la recourante ne peut pas se prévaloir d’une intégration socio-professionnelle remarquable. La recourante reconnait n’avoir jamais terminé de formation professionnelle alors qu’elle a suivi un cursus scolaire à Genève depuis l’âge de 12 ans. Selon son extrait de compte individuel, son emploi auprès de B______ Sàrl n’a duré que dix mois. Elle n’a, depuis, pas retrouvé d’activité lucrative, hormis un stage effectué en 2022-2023. Comme déjà indiqué, elle dépend entièrement de l’aide sociale depuis 2019 et fait l’objet de 27 actes de défaut de bien. Le prétendu assainissement prochain de sa situation financière n’est aucunement documenté. La recourante ne peut être suivie en tant qu’elle fait valoir que ces dettes ne seraient qu’un problème administratif lié au fait qu’elle avait, par erreur, avait souscrit à deux primes d’assurance maladie obligatoire. Il ressort en effet du décompte global établi par l’office cantonal des poursuites le 24 juillet 2024 que la dette de CONCORDIA ASSURANCE SA n’est citée qu’une fois parmi les 27 actes de défaut de biens. Certes, la recourante maîtrise parfaitement le français et dispose à Genève de sa famille proche, en particulier ses parentes et son frère, avec qui elle réside. Par ailleurs, compte tenu de la durée de son séjour en Suisse et de son arrivée à l’âge de 12 ans, elle y a vraisemblablement tissé des liens sociaux importants. Elle ne l’a toutefois aucunement allégué, ni a fortiori , démontré. Il convient donc de retenir que son intégration en milieu socio-professionnel n’est pas si profonde et irréversible qu’un retour dans sa patrie constituerait un déracinement complet, et cela quand bien même il nécessitera un effort d’adaptation important. Quant à l’aide apportée à son père, elle ne suffit à l’évidence pas pour retenir un rapport de dépendance particulier fondant un droit à une autorisation de séjour au sens de la jurisprudence précitée. Il convient par ailleurs de relever, comme l’a fait la juridiction précédente, que sa mère et son frère, qui vivent dans le même foyer qu’elle, peuvent également prendre soin de son père et qu’il existe des services d’aide à domicile. Il apparait au demeurant que l’état de santé de son père est désormais stabilisé, ce que la recourante ne conteste pas. Compte tenu de ces éléments, l'OCPM n'a pas abusé de son pouvoir d'appréciation en estimant qu'aucun motif important ne justifiait la délivrance d'une autorisation de séjour en faveur de la recourante sur la base de l'art. 20 OLCP.</w:t>
      </w:r>
    </w:p>
    <w:p>
      <w:r>
        <w:rPr>
          <w:b/>
        </w:rPr>
        <w:t>E. 7</w:t>
      </w:r>
    </w:p>
    <w:p>
      <w:r>
        <w:t>Il convient encore d’examiner le bien-fondé de la décision de renvoi.</w:t>
      </w:r>
    </w:p>
    <w:p>
      <w:r>
        <w:rPr>
          <w:b/>
        </w:rPr>
        <w:t>E. 7.1</w:t>
      </w:r>
    </w:p>
    <w:p>
      <w:r>
        <w:t>Selon l'art. 64 al. 1 let. c LEI, les autorités compétentes rendent une décision de renvoi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w:t>
      </w:r>
    </w:p>
    <w:p>
      <w:r>
        <w:rPr>
          <w:b/>
        </w:rPr>
        <w:t>E. 7.2</w:t>
      </w:r>
    </w:p>
    <w:p>
      <w:r>
        <w:t>En l'espèce, il ne ressort pas du dossier que l'exécution du renvoi serait impossible, illicite ou inexigible au regard de l'art. 83 LEI ; la recourante ne fait d'ailleurs pas valoir que tel serait le cas. La décision de renvoi est donc fondée. Mal fondé, le recours sera rejeté. Comme l’ont indiqué l’OCPM et le TAPI, la recourante pourra prétendre à un nouveau titre de séjour dès qu’elle aura obtenu un nouvel emploi lui permettant de subvenir à ses besoins.</w:t>
      </w:r>
    </w:p>
    <w:p>
      <w:r>
        <w:rPr>
          <w:b/>
        </w:rPr>
        <w:t>E. 8</w:t>
      </w:r>
    </w:p>
    <w:p>
      <w:r>
        <w:t>Vu l'issue du litige, un émolument de CHF 400.- sera mis à la charge de la recourante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