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A/398/2024 vom 22. Oktober 2024</w:t>
      </w:r>
    </w:p>
    <w:p>
      <w:r>
        <w:t>GE Cour de justice, 2024-10-22, FR</w:t>
      </w:r>
    </w:p>
    <w:p>
      <w:r>
        <w:rPr>
          <w:b/>
        </w:rPr>
        <w:t xml:space="preserve">Quelle: </w:t>
      </w:r>
      <w:r>
        <w:t>https://mcp.opencaselaw.ch/entscheid/ge_gerichte_A_398_2024</w:t>
      </w:r>
    </w:p>
    <w:p>
      <w:r>
        <w:t>FR: GE_GERICHTE A/398/2024 du 22 octobre 2024</w:t>
      </w:r>
    </w:p>
    <w:p>
      <w:r>
        <w:t>IT: GE_GERICHTE A/398/2024 del 22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art. 62 al. 1 de la de loi sur la procédure administrative du 12 septembre 1985 [LPA - E 5 10]). Interjeté dans la forme et le délai prévus par la loi, le recours est recevable.</w:t>
      </w:r>
    </w:p>
    <w:p>
      <w:r>
        <w:rPr>
          <w:b/>
        </w:rPr>
        <w:t>E. 2.1</w:t>
      </w:r>
    </w:p>
    <w:p>
      <w:r>
        <w:t>À teneur de l'art. 1 al. 1 LAI, les dispositions de la LPGA s'appliquent à l'assurance-invalidité, à moins que la loi n'y déroge expressément.</w:t>
      </w:r>
    </w:p>
    <w:p>
      <w:r>
        <w:rPr>
          <w:b/>
        </w:rPr>
        <w:t>E. 2.2</w:t>
      </w:r>
    </w:p>
    <w:p>
      <w:r>
        <w:t>Le 1 er janvier 2022, sont entrées en vigueur les modifications de la LAI du 19 juin 2020 (développement continu de l’AI ; RO 2021 705) ainsi que celles du</w:t>
      </w:r>
    </w:p>
    <w:p>
      <w:r>
        <w:rPr>
          <w:b/>
        </w:rPr>
        <w:t>E. 3</w:t>
      </w:r>
    </w:p>
    <w:p>
      <w:r>
        <w:t>Le litige porte sur le droit de la recourante à une rente d’invalidité, singulièrement sur le statut à retenir et sur son empêchement dans le ménage.</w:t>
      </w:r>
    </w:p>
    <w:p>
      <w:r>
        <w:rPr>
          <w:b/>
        </w:rPr>
        <w:t>E. 4</w:t>
      </w:r>
    </w:p>
    <w:p>
      <w:r>
        <w:t>L’art. 8 LPGA prévoit qu’est réputée invalidité l’incapacité de gain totale ou partielle qui est présumée permanente ou de longue durée. L’art. 4 LAI précise en outre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Conformément à l’art. 28a LAI, l’évaluation du taux d’invalidité des assurés exerçant une activité lucrative est régie par l’art. 16 LPGA. Le Conseil fédéral fixe les revenus déterminants pour l’évaluation du taux d’invalidité ainsi que les facteurs de correction applicables (al. 1).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(al. 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(al. 3). L’art. 24septies RAI stipule que le statut d’un assuré est déterminé en fonction de la situation professionnelle dans laquelle il se trouverait s’il n’était pas atteint dans sa santé (al. 1). L’assuré est réputé (al. 2) : exercer une activité lucrative au sens de l’art. 28a al. 1 LAI dès lors qu’en bonne santé, il exercerait une activité lucrative à un taux d’occupation de 100% ou plus (let. a) ; ne pas exercer d’activité lucrative au sens de l’art. 28a al. 2 LAI dès lors qu’en bonne santé, il n’exercerait pas d’activité lucrative (let. b) ; exercer une activité lucrative à temps partiel au sens de l’art. 28a al. 3 LAI dès lors qu’en bonne santé, il exercerait une activité lucrative à un taux d’occupation de moins de 100% (let. c).</w:t>
      </w:r>
    </w:p>
    <w:p>
      <w:r>
        <w:rPr>
          <w:b/>
        </w:rPr>
        <w:t>E. 4.1</w:t>
      </w:r>
    </w:p>
    <w:p>
      <w:r>
        <w:t>Pour déterminer la méthode d'évaluation de l'invalidité applicable dans un cas particulier, il faut à chaque fois se demander ce que l'assuré aurait fait si l'atteinte à la santé n'était pas survenue (ATF 137 V 334 consid. 3.2). Il convient par conséquent de procéder à une évaluation hypothétique incluant la prise en compte des choix également hypothétiques que l'assuré aurait faits (ATF 144 I 28 consid. 2.4).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4.2</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w:t>
      </w:r>
    </w:p>
    <w:p>
      <w:r>
        <w:rPr>
          <w:b/>
        </w:rPr>
        <w:t>E. 4.2.1</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arrêts du Tribunal fédéral 9C_625/2017 du 26 mars 2018 consid. 6.2 et I 733/06 du 16 juillet 2007).</w:t>
      </w:r>
    </w:p>
    <w:p>
      <w:r>
        <w:rPr>
          <w:b/>
        </w:rPr>
        <w:t>E. 4.2.2</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 Le Tribunal fédéral a récemment confirmé qu'il n'y a pas de motif de revenir sur le principe de l'obligation de diminuer le dommage tel que dégagé par la jurisprudence (arrêt du Tribunal fédéral 9C_248/2022 du 25 avril 2023 consid. 5.3 et les références).</w:t>
      </w:r>
    </w:p>
    <w:p>
      <w:r>
        <w:rPr>
          <w:b/>
        </w:rPr>
        <w:t>E. 4.2.3</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w:t>
      </w:r>
    </w:p>
    <w:p>
      <w:r>
        <w:rPr>
          <w:b/>
        </w:rPr>
        <w:t>E. 4.2.4</w:t>
      </w:r>
    </w:p>
    <w:p>
      <w:r>
        <w:t>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rPr>
          <w:b/>
        </w:rPr>
        <w:t>E. 6</w:t>
      </w:r>
    </w:p>
    <w:p>
      <w:r>
        <w:t>En l’espèce, l’intimé a retenu un statut de ménagère et considéré, sur la base d’une enquête économique, que le degré d’invalidité était nul. La recourante conteste le statut de personne non active retenu par l’intimé, ainsi que le résultat de l’enquête ménagère.</w:t>
      </w:r>
    </w:p>
    <w:p>
      <w:r>
        <w:rPr>
          <w:b/>
        </w:rPr>
        <w:t>E. 6.1</w:t>
      </w:r>
    </w:p>
    <w:p>
      <w:r>
        <w:t>En ce qui concerne le grief relatif au statut, la chambre de céans rappelle que la recourante a déclaré n’avoir jamais travaillé dans son pays d’origine, quitté à l’âge de 24 ans, et avoir très peu travaillé en Suisse, soit uniquement entre les années 1991 et 1994, ainsi que durant trois mois en 2003. Il ressort effectivement de son extrait de compte individuel, que l’intéressée a été affiliée auprès de la FER-CIAM d’octobre 1991 à juin 1992 (revenus déclarés de CHF 4'500.- pour 1991 et CHF 8'280.- pour 1992) et d’octobre 1993 à mars 1994 (revenus déclarés de CHF 4'000.- pour 1993 et CHF 684.- pour 1994). Par la suite elle a uniquement cotisé en qualité de personne sans activité lucrative, à l’exception des mois de janvier et février 2003 (CHF 2'104.-). Ainsi, il peut être retenu que la recourante a travaillé durant seulement deux mois, et non trois mois, au cours des 30 dernières années, et ce à temps partiel au vu des revenus annoncés. Contrairement à ce que soutient la recourante, cette absence d’activité lucrative n’est pas justifiée par des problèmes de santé. Il est rappelé à cet égard que, par décision du 7 octobre 2003 entrée en force en l’absence de recours, l’intimé avait retenu qu’elle disposait d’une entière capacité de travail dans une activité adaptée, exempte du port de lourdes charges en raison des troubles somatiques. En effet, dans son avis du 19 septembre 2003, le SMR avait notamment constaté que la fatigabilité chronique, plainte principale, pouvait être expliquée par le syndrome d’apnées du sommeil, à traiter par CPAP de façon régulière. L’intéressée n’avait d’ailleurs plus rapporté d’apnées du sommeil lors de son évaluation psychiatrique et avait déclaré que ses troubles du sommeil étaient irréguliers (rapport d’examen psychiatrique du 19 mai 2003). Quant aux lombalgies et lombo-cruralgies, le Dr G______ avait indiqué ne pas voir de limitation rhumatologique particulière à l’exercice d’une activité professionnelle, hormis pour le port de lourdes charges et les positions statiques prolongées (rapport du 13 mars 2003). La recourante ne démontre pas avoir cherché un emploi postérieurement à cette décision. Si elle a sollicité des indemnités de chômage le 30 juin 2004 et mentionné être disposée à travailler à 80%, il ressort de la décision d’inaptitude au placement du 22 décembre 2004 qu’elle a également produit des certificats d’incapacité de travail et déclaré qu’elle n’avait effectué aucune recherche d’emploi et qu’elle n’envisageait pas « tout de suite » de prendre une activité professionnelle. Ainsi, en dépit de la décision de refus de rente, elle n’a pas mis à profit sa capacité de travail résiduelle, ni ne démontre avoir tenté de le faire. De janvier 2006 à mars 2020, la recourante a vécu au Maroc, chez sa mère. Elle ne prétend pas avoir travaillé durant ces années. Depuis son retour à Genève, elle loue une chambre et bénéficie de prestations financières versées par l’Hospice général. Elle a déposé sa seconde demande auprès de l’intimé le 1 er juillet 2021 et produit dans ce cadre de nombreux rapports établis depuis le mois de mai 2020. Dans leur rapport d’expertise du 12 juin 2023, la rhumatologue a retenu une capacité de travail de 40% dès le mois de mai 2020 et la psychiatre une incapacité totale dès le mois de septembre 2020. Ces appréciations n’apparaissent pas critiquables, puisque le Dr B______, lequel n’est pas psychiatre, a considéré que l’incapacité de travail résultait de l’état dépressif sévère, et non pas des lombosciatalgies (rapport du 19 juillet 2021), et que le Dr C______, psychiatre, n’a été consulté qu’à partir du 20 septembre 2020 (rapport du 31 août 2021). Or, la recourante n’a effectué aucune démarche afin de trouver un emploi alors qu’elle disposait encore d'une capacité de travail. Au niveau familial, elle a été économiquement dépendante de ses deux maris et du père de son fils. Il est notamment rappelé qu’après son premier divorce prononcé en avril 1993, lors duquel aucune indemnité ou pension alimentaire ne lui a été accordée ( cf . jugement de divorce du 18 janvier 1993), l’intéressée n’a travaillé que durant quelques mois à temps partiel, malgré son absence de ressources financières. Elle a alors été aidée par des proches, soit sa mère et un ami, puis dès 2000 par l’Hospice général. Suite au décès du père de son enfant, en novembre 2001, elle n’a pas non plus exercé d’activité lucrative, à l’exception d’une très brève période de deux mois en 2003, et ce alors que ses revenus se limitaient aux avances de l’Hospice général et à la rente d’orphelin de son enfant. Elle s’est ensuite remariée en janvier 2004, puis séparée, et est retournée vivre chez sa mère au Maroc en 2006, où elle est restée durant quatorze ans. Ainsi, en dépit de sa situation financière précaire et du fait qu’elle avait la charge exclusive de son fils en bas âge, la recourante n’a pas démontré avoir cherché à intégrer le marché de l’emploi, que ce soit en Suisse ou au Maroc. La volonté hypothétique de l’intéressée, selon laquelle elle aurait travaillé à plein temps en bonne santé, n’est étayée par aucun indice et ne saurait donc être considérée comme établie, au degré de la vraisemblance prépondérante. Dans ces conditions, la chambre de céans considère que l’intimé était fondé à retenir un statut de personne non active.</w:t>
      </w:r>
    </w:p>
    <w:p>
      <w:r>
        <w:rPr>
          <w:b/>
        </w:rPr>
        <w:t>E. 6.2</w:t>
      </w:r>
    </w:p>
    <w:p>
      <w:r>
        <w:t>S’agissant des conclusions du rapport d’enquête économique, la chambre de céans constate que ce document a été établi par une personne qualifiée, au domicile de l’intéressée. Il rappelle toutes les atteintes à la santé retenues dans le rapport d’expertise, aux niveaux somatique et psychique, et énumère précisément les limitations fonctionnelles retenues. Interrogée à cet égard, la recourante a déclaré que son état de santé était identique à celui qui prévalait au mois de juin 2023, soit au moment de l’expertise médicale. S’agissant des différents postes, la recourante n’a décrit aucun empêchement pour les postes en lien avec l’alimentation. Concernant l’entretien du logement, l’enquêtrice a rapporté que l’intéressée pouvait effectuer les travaux légers dans sa chambre et les pièces communes, et qu’elle ne rencontrait aucun empêchement pour les travaux lourds et saisonniers, puisqu’elle n’avait jamais participé à ces tâches depuis qu’elle était rentrée en Suisse, car la femme de ménage de sa logeuse venait une fois toutes les deux semaines et s’occupait de ces tâches. Pour les achats et courses diverses, l’intéressée n’avait décrit aucun empêchement et elle était aidée par une assistante sociale pour les démarches administratives. Concernant les lessives et l’entretien des vêtements, aucune restriction n’avait été évoquée par l’intéressée, qui n’avait jamais fait de repassage ni de travaux de couture. Enfin, le fils de la recourante était indépendant et vivait dans son propre studio, de sorte qu’aucune limitation ne pouvait être retenue pour les soins aux proches. Il en allait de même pour les soins de l’extérieur de l’appartement, sans terrasse ou balcon, et l’intéressée n’avait pas d’animal. Les rapports produits par la recourante dans le cadre de la procédure ne permettent pas de remettre en cause le rapport d’enquête ménagère. En effet, les atteintes somatiques rappelées par le Dr B______ ( cf . rapport du 4 mars 2024) ont été dûment prises en compte par la Dre D______. Il en va de même des troubles psychiques attestés par le Dr C______ ( cf . certificat du 15 mars 2024), dont le contenu est analogue à celui de ses précédents rapports, qui évoquaient déjà un épisode dépressif sévère, avec une anhédonie, une anxiété, des ruminations anxieuses, des sentiments de dévalorisation, de culpabilité et d’injustice, une aboulie, une clinophilie, des épisodes d’agoraphobie et de mélancolie aigües, des difficultés de concentration, de mémoire, une baisse d’appétit, une fatigue, la nécessité de fournir des efforts importants pour effectuer des tâches minimes. Son appréciation, selon laquelle sa patiente ne serait pas en mesure d’effectuer ses travaux ménagers quotidiens n’est pas propre à remettre en cause celle de l’enquêtrice, conforme aux déclarations de la recourante. La chambre de céans ne constate donc aucune raison de s’écarter des conclusions de l’enquêtrice. La recourante n’en fait d’ailleurs valoir aucune. Son seul argument réside dans son allergie au chien de sa logeuse, qui justifierait un prochain déménagement. Toutefois, dès lors que la recourante habite toujours chez sa logeuse, c’est à bon droit que l’intimé a retenu que celle-ci devait partager la tenue du ménage pour les pièces communes. L’exigibilité retenue est donc parfaitement justifiée.</w:t>
      </w:r>
    </w:p>
    <w:p>
      <w:r>
        <w:rPr>
          <w:b/>
        </w:rPr>
        <w:t>E. 6.3</w:t>
      </w:r>
    </w:p>
    <w:p>
      <w:r>
        <w:t>La chambre de céans considère, par appréciation anticipée des preuves, qu’il n’est pas nécessaire d’entendre la recourante, ni son psychiatre, étant rappelé que l’intéressée a largement pu s’exprimer par écrit, à plusieurs reprises.</w:t>
      </w:r>
    </w:p>
    <w:p>
      <w:r>
        <w:rPr>
          <w:b/>
        </w:rPr>
        <w:t>E. 7</w:t>
      </w:r>
    </w:p>
    <w:p>
      <w:r>
        <w:t>Au vu de ce qui précède, le recours sera rejeté. Il convient de renoncer à la perception d'un émolument, la recourante étant au bénéfice de l'assistance juridique (art. 69 al. 1bis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