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A/3987/2024 vom 14. November 2025</w:t>
      </w:r>
    </w:p>
    <w:p>
      <w:r>
        <w:t>GE Cour de justice, 2025-11-14, FR</w:t>
      </w:r>
    </w:p>
    <w:p>
      <w:r>
        <w:rPr>
          <w:b/>
        </w:rPr>
        <w:t xml:space="preserve">Quelle: </w:t>
      </w:r>
      <w:r>
        <w:t>https://mcp.opencaselaw.ch/entscheid/ge_gerichte_A_3987_2024</w:t>
      </w:r>
    </w:p>
    <w:p>
      <w:r>
        <w:t>FR: GE_GERICHTE A/3987/2024 du 14 novembre 2025</w:t>
      </w:r>
    </w:p>
    <w:p>
      <w:r>
        <w:t>IT: GE_GERICHTE A/3987/2024 del 14 novembre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 applicable par le renvoi de l’art. 1 al. 1 LAA).</w:t>
      </w:r>
    </w:p>
    <w:p>
      <w:r>
        <w:rPr>
          <w:b/>
        </w:rPr>
        <w:t>E. 2</w:t>
      </w:r>
    </w:p>
    <w:p>
      <w:r>
        <w:t>Le litige porte sur le droit de la recourante à des prestations de l’assurance-accident au-delà du 1 er janvier 2023.</w:t>
      </w:r>
    </w:p>
    <w:p>
      <w:r>
        <w:rPr>
          <w:b/>
        </w:rPr>
        <w:t>E. 2.1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Ainsi, l’assureur-accidents doit également prendre en charge les suites indirectes d’un accident (RAMA 2003 n. U 487 p. 337 consid. 5.2.2 ; arrêts du Tribunal fédéral 8C_684/2008 du 5 janvier 2009 consid. 5.1 et 8C_444/2008 du 23 décembre 2008 consid. 5 ; ATAS/848/2013 du 2 septembre 2013 consid. 5b/aa).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143 II 661 consid. 5.1.2 ; 139 V 156 consid. 8.4.2).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U 351/04 du 14 février 2006 consid. 3.2).</w:t>
      </w:r>
    </w:p>
    <w:p>
      <w:r>
        <w:rPr>
          <w:b/>
        </w:rPr>
        <w:t>E. 2.2</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115 V 133 consid. 6 ;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Selon la jurisprudence (ATF 115 V 403 consid. 5a),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(ATF 115 V 403 consid. 5b).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(ATF 115 V 403 consid. 5c/aa). Pour admettre l’existence du lien de causalité adéquate en présence d’un accident de gravité moyenne, il faut prendre en considération un certain nombre de critères, dont les plus importants sont les suivants (ATF 115 V 133 consid. 6c/aa ;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lorsqu'il s'agit d'un accident de gravité moyenne,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115 V 133 consid. 6c/bb ; 115 V 403 consid. 5c/bb). Le trouble de stress post-traumatique (CIM-10 ; F43) constitue une réponse différée ou prolongée à une situation ou à un événement stressant (de courte ou de longue durée), exceptionnellement menaçant ou catastrophique et qui provoquerait des symptômes évidents de détresse chez la plupart des individus. Dans certains cas, le trouble peut présenter une évolution chronique, durer de nombreuses années, et entraîner une modification durable de la personnalité (ATF 142 V 342 consid. 5.1 et les références). Selon la jurisprudence, pour que le diagnostic d'état de stress post-traumatique de survenue différée puisse être retenu, l'ensemble des critères diagnostiques du DSM-5 et de la CIM-10 doit être présent au plus tard six mois après l'événement ( cf. ATF 142 V 342 consid. 5.2.2). Une motivation particulière est nécessaire dans les cas où, exceptionnellement et pour des motifs déterminés, une durée supérieure à six mois doit être prise en compte ( cf. arrêts du Tribunal fédéral 9C _ 571/2023 du 11 janvier 2024 consid. 6.2 et la référence ; 9C _ 480/2021 du 8 novembre 2022 consid. 5.3.2 et les références).</w:t>
      </w:r>
    </w:p>
    <w:p>
      <w:r>
        <w:rPr>
          <w:b/>
        </w:rPr>
        <w:t>E. 2.3</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134 V 109 consid. 4.1 et les références ; arrêt du Tribunal fédéral 8C_39/2020 du 19 juin 2020 consid. 3.2 et les références).</w:t>
      </w:r>
    </w:p>
    <w:p>
      <w:r>
        <w:rPr>
          <w:b/>
        </w:rPr>
        <w:t>E. 2.4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2.5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3</w:t>
      </w:r>
    </w:p>
    <w:p>
      <w:r>
        <w:t>En l’occurrence, l’intimée a mis un terme à la prise en charge du traitement médical avec effet au 1 er janvier 2023 et au versement de l'indemnité journalière au 30 septembre 2023. Se fondant sur les expertises médicales des 7 décembre 2022 et 21 février 2023, l’assurance a considéré que l’état de santé de la recourante s’était stabilisé au 1 er janvier 2023. Il convient donc d’examiner la valeur probante de ces deux expertises. La chambre de céans constate tout d’abord que ces rapports d’expertise remplissent, sur le plan formel, les réquisits jurisprudentiels en matière de valeur probante. Ils contiennent en effet un résumé des rapports médicaux du dossier, une anamnèse, les plaintes de la recourante et des observations cliniques. Les conclusions des experts sont en outre claires et bien motivées. Chaque expert a également énuméré de façon détaillée les diagnostics retenus et a répondu aux questions qui lui étaient soumises. Sur le fond, l’expert orthopédiste a retenu les diagnostics suivants : troubles algiques perdurants de la cheville et du pied gauches entraînant une démarche en suspension du talon gauche associée à une ostéopénie de décharge sans corrélation objective l'expliquant, rhizarthrose bilatérale préexistante, tendinopathie calcifiante de la coiffe des rotateurs de l'épaule droite, préexistante. Il a également retenu des hypodysesthésies modérées associées à une dermite ocre dans la région de la malléole interne post-écrasement traumatique, sans influence sur la capacité de travail. Selon l’expert, les plaintes algiques importantes décrites par l’assurée concernant le pied et la cheville gauches étaient en relation de causalité certaine avec l’accident. Cela était dû aux troubles circulatoires locaux cicatriciels ayant induit une dermite ocre par écrasement de cette zone. Par contre, tout ce qui concernait la problématique décrite lors de la marche était difficilement explicable en l’absence de substrat organique significatif autre démontré. Dans ce contexte, les plaintes de l’assurée n’étaient qu’en relation de causalité possible avec l’événement du 3 novembre 2021. Concernant les plaintes au niveau de la rhizarthrose gauche et de l’épaule droite, il s’agissait dans le premier cas de troubles dégénératifs classiques liés à l’âge et dans le second cas, d’une maladie rhumatismale sous forme d’une tendinite calcifiante. La relation de causalité naturelle était exclue pour ces deux pathologies avec l’accident du 3 novembre 2021. Les limitations fonctionnelles comprenaient la position verticale et en charge sur une longue durée, le déplacement sur des sols irréguliers et le port de charges de manière répétitive de plus de 5 kg. Dans une activité respectant ces limitations, telle que l'ancienne activité de secrétaire ou d'assistante de direction, la capacité de travail de l'assurée était entière sans baisse de rendement, dès fin 2022, au plus tard début 2023. L’expert a également relevé que sur le plan de l’assurance-accidents, l’état pouvait être considéré comme stabilisé, vraisemblablement à fin 2022 après la tentative de perfusion de Kétamine qui n’avait pas donné le succès espéré. Dans ce contexte, et en l’absence de lésion objective majeure traumatique, on pouvait considérer que son état était stabilisé. Devant la chambre de céans, la recourante ne conteste pas spécifiquement cette appréciation. Elle se limite à rappeler que les blessures graves au pied et à la cheville sont la conséquence directe et immédiate de l’accident. Ce point n’est toutefois pas contesté, l’expert orthopédiste ayant précisément retenu que les plaintes algiques importantes décrites par l’assurée concernant le pied et la cheville gauches étaient en relation de causalité certaine avec l’accident. L’assurance a d’ailleurs presté au titre de cet événement jusqu’au 31 décembre 2022 (s’agissant des frais de traitement) et jusqu’au 30 septembre 2023 (s’agissant des indemnités journalières). S’agissant de la stabilisation de sa situation médicale, elle allègue certes que son état de santé nécessite un suivi médical continu, ainsi que des traitements lourds et médicamenteux, mais ne prétend pas que ce suivi serait susceptible de conduire à une sensible amélioration de son état de santé. L’intéressée fait d’ailleurs valoir que les conditions de l’art. 19 LAA seraient remplies, ce qui implique que son état de santé se serait stabilisé. Pour le reste, et comme l’a retenu l’autorité intimée, sans avoir été contredite sur ce point, les pièces médicales versées dans le cadre de son opposition, en particulier les notes de suite des 27 juin et 24 août 2023, ne permettent pas de s'écarter des conclusions de l’expertise orthopédique sur ce point. Aucun médecin n'a en effet indiqué qu'un quelconque traitement médical était de nature à améliorer de manière significative l'état de santé de la recourante sur le plan somatique. La reprise de séances de physiothérapie ne suffit pas pour retenir une potentielle amélioration sensible de l’état de santé. On notera d’ailleurs que la reprise du traitement ne semble pas avoir eu d’effet bénéfique, le médecin des HUG ayant constaté des exacerbations douloureuses (cf. note de suite du 24 août 2023). Ainsi, au vu des pièces médicales au dossier, l’intimée a confirmé à juste titre que l’état de santé de la recourante était, au plan somatique, stabilisé au 1 er janvier 2023. La recourante ne remet pas non plus en cause l’appréciation de l’expert orthopédique s’agissant de sa capacité de travail sur le plan somatique. Les pièces médicales produites par l’intéressée ne se prononcent d’ailleurs pas sur ce point. Compte tenu de ce qui précède, l’expertise orthopédique doit se voir reconnaître une pleine valeur probante. S’agissant de l’expertise psychiatrique, la Dre D______ a posé le diagnostic, avec incidence sur la capacité de travail, de trouble de l'adaptation avec réaction dépressive prolongée (43.21) depuis novembre 2021. Selon l’experte, ce trouble psychiatrique était dû de façon certaine à l’accident du 3 novembre 2021. Il était typiquement réactionnel à un évènement extérieur et stressant, secondaire à l’accident. La symptomatologie dépressive était toutefois stabilisée à la date de l’expertise, soit le 23 novembre 2022, aucun symptôme du registre dépressif n'étant présent lors de l'examen et l'échelle de dépression de Hamilton revenant avec un score non significatif (trois points). Les capacités de concentration, de compréhension et d'adaptation au rythme de travail n'étaient pas limitées pour des motifs strictement psychiatriques et aucune autre limitation fonctionnelle n'était retenue par l'experte. La capacité de travail de l'assurée était entière, sans limitation de rendement, dans toute activité. La recourante conteste cette appréciation et se prévaut du rapport médical de la Dre F______ du 8 août 2023 qui évoque des symptômes rattachés à un état de stress post-traumatique et pose le diagnostic d’épisode dépressif d’intensité moyenne à sévère. Ce seul rapport médical ne suffit toutefois pas à écarter l’appréciation de l’experte s’agissant des troubles psychiques retenus. L’experte a en effet dûment expliqué les raisons pour lesquelles elle ne retenait pas de diagnostic psychiatrique de récurrence dépressive. Elle a notamment expliqué que la recourante n’avait aucun antécédent psychiatrique et que les symptômes présentés par l’intéressée ne correspondaient pas à ce diagnostic (absence de diminution de l’aptitude à se concentrer, absence de fatigue psychique importante après un effort minime, absence de trouble du sommeil, absence de trouble des conduites alimentaires, absence de trouble de la libido, absence d’aboulie et d’anhédonie, absence de difficultés à socialiser, absence de fragilité de l’estime de soi, absence de perte de confiance en soi, absence de perte d’intérêt pour les activités agréables). Il n’y a donc pas lieu de s’écarter du diagnostic de trouble de l’adaptation avec réaction dépressive prolongée retenu par l’experte. En tant que la recourante soutient que ses troubles psychiques seraient en lien de causalité naturelle et adéquate avec l’accident du 3 novembre 2021, force est de constaté que l’experte a retenu un lien de causalité certain. Elle a toutefois relevé que l’état de santé de la recourante était stabilisé sur le plan psychique et que sa capacité de travail était entière. Les pièces produites par la recourante ne permettent pas de s’écarter de cette appréciation. Il ne ressort en particulier pas du rapport médical de la Dre F______ du 8 août 2023 que les troubles psychiques retenus par la psychiatre traitante de l’assurée seraient incapacitants. Au demeurant, et comme l’a relevé l’intimée dans sa réponse, les troubles psychiques ne seraient, quoi qu’il en soit, pas en lien de causalité adéquate avec l’accident. Il n’est en effet pas contesté que l’accident doit être considéré comme étant de gravité moyenne au sens strict, si bien que trois des critères jurisprudentiels doivent au moins être remplis pour que la causalité adéquate soit admise, un seul étant toutefois suffisant s’il revêt une intensité particulière. Or, tel n’est pas le cas en l’espèce. En effet, contrairement à ce que retient la recourante, il ne ressort pas du dossier que l’accident aurait revêtu un caractère particulièrement impressionnant ou dramatique au sens de la jurisprudence (à titre de comparaison, ce critère a été reconnu en présence d’un accident de la circulation dans un tunnel impliquant un camion et une voiture avec plusieurs collisions contre le mur du tunnel [arrêt du Tribunal fédéral 8C_257/2008 du 4 septembre 2008, consid. 3.3.3], d’un carambolage de masse sur l’autoroute [arrêt du Tribunal fédéral 8C_623/2007 du 22 août 2008 consid. 8.1], ou encore dans le cas d’une conductrice dont la voiture s’était encastrée contre un arbre entraînant le décès de la mère de celle-ci, qui occupait le siège passager [arrêt du Tribunal fédéral U 18/07 du 7 février 2008]). Par ailleurs, et sans minimiser les atteintes subies par la recourante au niveau du pied et à la cheville, qui revêtent une certaine importance, celles-ci ne sont pas de nature à atteindre la gravité requise par la jurisprudence (arrêt du Tribunal fédéral 8C_235/2020 du 15 février 2021 consid. 4.3.2 [perte d'un œil ou certains cas de mutilations à la main dominante] ; 8C_398/2012 du 6 novembre 2020 [rupture de la rate, fissure de l’estomac, hémopneumothorax bilatéral et fracture costale en série]). Quant au critère de la durée anormalement longue du traitement médical, il n’est pas non plus réalisé. Une hospitalisation de douze jours ne saurait être qualifiée d’anormalement longue au sens de la jurisprudence (ATF 148 V 138 consid. 5.3.2 ; arrêts du Tribunal fédéral 8C_249/2018 du 12 mars 2019 consid. 5.2.3 ; 8C_766/2017 du 30 juillet 2018 consid. 6.3.2 ; 8C_818/2015 du 15 novembre 2016 consid. 6 ; U.37/06 du 22 février 2007 consid. 7.3), étant précisé que la prise de médicaments antalgiques et la prescription de traitements par manipulations même pendant une certaine durée ne suffisent pas à fonder ce critère (arrêts du Tribunal fédéral 8C_361/2007 consid. 5.3 ; U.380/04 du 15 mars 2004 consid. 5.2.4 in RAMA 2005 n. U 549 p. 239). Pour le reste, aucun autre critère n’entre en ligne de compte, et la recourante ne s’en prévaut pas, étant rappelé que trois des critères jurisprudentiels doivent au moins être remplis pour que la causalité adéquate soit admise. Le dossier ne fait en particulier mention d’aucune erreur médicale, ni difficultés ou complications importantes apparues au cours de la guérison. Le critère des douleurs persistantes n’apparait pas non plus rempli, les médecins décrivant une évolution favorable de celles-ci. Quant à la durée de l’incapacité de travail due aux lésions physiques, elle n’apparait pas particulièrement longue au regard de la jurisprudence du Tribunal fédéral (arrêts du Tribunal fédéral 8C_93/2022 du 19 octobre 2022 consid. 5.3 ; 8C_600/2020 du 3 mai 2021 consid. 4.2.4 ; 8C_547/2020 du 1 er mars 2021 consid. 5.1 et les références ; 8C_209/2020 du 18 janvier 2021 consid. 5.2.2 ; 8C_627/2019 du 10 mars 2020 consid. 5.4). Compte tenu de ce qui précède, il n’y a pas matière à se distancer des conclusions des experts selon lesquelles l’état de santé de la recourante est stabilisé depuis le 1 er janvier 2023 et qu’elle dispose d’une pleine capacité de travail dans une activité adaptée à ses limitations fonctionnelles.</w:t>
      </w:r>
    </w:p>
    <w:p>
      <w:r>
        <w:rPr>
          <w:b/>
        </w:rPr>
        <w:t>E. 4</w:t>
      </w:r>
    </w:p>
    <w:p>
      <w:r>
        <w:t>L'état de santé étant considéré comme stabilisé et la capacité de travail de la recourante ayant été déterminée de manière probante par l'intimée, il s'agit d'examiner le calcul du droit à la rente d'invalidité effectué par l'intimée.</w:t>
      </w:r>
    </w:p>
    <w:p>
      <w:r>
        <w:rPr>
          <w:b/>
        </w:rPr>
        <w:t>E. 4.1</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4.2</w:t>
      </w:r>
    </w:p>
    <w:p>
      <w:r>
        <w:t>Si l'assuré est invalide (art. 8 LPGA) à 10% au moins par suite d’un accident, il a droit à une rente d'invalidité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dans sa teneur en vigueur jusqu'au 31 décembre 2020) ; seules les conséquences de l'atteinte à la santé sont prises en compte pour juger de la présence d'une incapacité de gain ; de plus, il n'y a incapacité de gain que si celle-ci n'est pas objectivement surmontable (al. 2). Depuis le 1 er janvier 2021, l'expression « marché du travail équilibré dans son domaine d'activité » a été remplacée, dans le texte français, par celle de « marché du travail équilibré qui entre en considération », dans le but de faire correspondre la version française aux versions allemandes et italiennes (cf. Message du Conseil fédéral concernant la modification de la loi fédérale sur la partie générale du droit des assurances sociales du 2 mars 2018, FF 2018 1622).</w:t>
      </w:r>
    </w:p>
    <w:p>
      <w:r>
        <w:rPr>
          <w:b/>
        </w:rPr>
        <w:t>E. 4.3</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Le salaire réalisé en dernier lieu par l'assuré comprend tous les revenus d'une activité lucrative (y compris les gains accessoires et la rémunération des heures supplémentaires effectuées de manière régulière) soumis aux cotisations à l'assurance-vieillesse et survivants. En effet, l'art. 25 al. 1 du règlement sur l’assurance-invalidité du 17 janvier 1961 (RAI – RS 831.201) établit un parallèle entre le revenu soumis à cotisation à l'AVS et le revenu à prendre en considération pour l'évaluation de l'invalidité ; le parallèle n'a toutefois pas valeur absolue. Cette réglementation est applicable par analogie dans le domaine de l'assurance-accidents, dès lors que la notion d'invalidité y est la même que dans l'assurance-invalidité. On rappellera cependant que l'évaluation de l'invalidité par l'assurance-invalidité n'a pas de force contraignante pour l'assureur-accidents de même, l'assurance-invalidité n'est pas liée par l'évaluation de l'invalidité de l'assurance-accidents. Pour établir le salaire réalisé en dernier lieu et son évolution subséquente, on se fondera en premier lieu sur les renseignements fournis par l'employeur. Tant pour les personnes salariées que pour celles de condition indépendante, on peut également se référer aux revenus figurant dans l'extrait du compte individuel de l'AVS (arrêt du Tribunal fédéral 8C_679/2020 du 1er juillet 2021 consid. 5.1 et les références). Dans le domaine de l’assurance-accidents, le revenu sans invalidité doit être établi sans égard au fait que l'assuré mettait à profit entièrement, ou en partie seulement, sa capacité de travail avant l'accident. Il faut, autrement dit, rechercher quelles sont les possibilités de gain d'un assuré censé les utiliser pleinement (ATF 119 V 475 consid. 2b et les références ; arrêt du Tribunal fédéral 8C_664/2007 du 14 avril 2008 consid. 7.2.2 à 7.2.5 et les références).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8C_709/2023 du 8 mai 2024 consid. 6.2.1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du 4 août 2021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 9C_242/2012 du 13 août 2012 consid. 3). Il convient de se référer à la version de l'ESS publiée au moment déterminant de la décision querellée (ATF 143 V 295 consid. 4 et les références ; arrêt du Tribunal fédéral 8C_801/2021 du 28 juin 2022 consid. 3.6).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 3.3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148 V 174 consid. 6.3 et les références ; 146 V 16 consid. 4.1 et ss. et les références). L'étendue de l'abattement justifié dans un cas concret relève du pouvoir d'appréciation (ATF 132 V 393 consid. 3.3). À cet égard,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tribunal des assurances sociales ne peut pas, sans motif pertinent, substituer sa propre appréciation à celle de l'administration ; il doit s'appuyer sur des circonstances de nature à faire apparaître sa propre appréciation comme la mieux appropriée (ATF 137 V 71 consid. 5.2 et la référence). Le salaire fondé sur les ESS doit encore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(ATF 143 V 295 consid. 4.1.3 ; arrêt du Tribunal fédéral 8C_659/2022 du 2 mai 2023 consid. 7.2).</w:t>
      </w:r>
    </w:p>
    <w:p>
      <w:r>
        <w:rPr>
          <w:b/>
        </w:rPr>
        <w:t>E. 4.4</w:t>
      </w:r>
    </w:p>
    <w:p>
      <w:r>
        <w:t>Dans la décision litigieuse, l’intimée a retenu qu’à la date de l’accident, la recourante percevait des revenus de trois employeurs différents. Se fondant sur un salaire horaire moyen de CHF 24.- sur 45 heures par semaine, elle a retenu un revenu annuel d’au maximum CHF 56'160.- (CHF 24.- x 45 heures x 52 semaines) pour un taux d’activité de 100%. Renchéri jusqu’en 2023, le revenu sans invalidité s’élevait à CHF 57’583.55. S’agissant du revenu avec invalidité, l’intimée s’est référée aux salaires statistiques, soit le tableau « TA1_tiarge_sill_level » pour l’année 2022, niveau de compétence 1. Elle a retenu un revenu d’invalide de CHF 55'599.12 pour l’année 2023 (CHF 4'367.- x 41.7 / 40 heures x 12 x 2872 [indice 2023] / 2822 [indice 2022]). Ainsi, après comparaison des revenus, le degré d’invalidité de la recourante se montait à 3.44%, arrondi à 3%. Devant la chambre de céans, la recourante indique que la comparaison des revenus opérée par l’autorité intimée est « totalement fausse ». Elle ne conteste toutefois aucun des éléments retenus par l’intimée à l’appui de ses calculs. Elle ne prétend pas avoir été assurée dans le cadre de son activité lucrative indépendante et ne remet en cause ni les revenus perçus dans le cadre des trois emplois effectués avant l’accident, ni l’utilisation des salaires statistiques pour la détermination du revenu avec invalidité. Ainsi, en tant qu’elle repose sur les pièces au dossier - en particulier les bulletins de salaire produits par la recourante - et la jurisprudence rendue en la matière, la comparaison des revenus à laquelle a procédé l’intimée doit être confirmée. Or, dans la mesure où le taux d’invalidité est inférieur au taux minimum de 10% ouvrant le droit à une rente d’invalidité, c’est à raison que l’intimée a nié le droit à une rente.</w:t>
      </w:r>
    </w:p>
    <w:p>
      <w:r>
        <w:rPr>
          <w:b/>
        </w:rPr>
        <w:t>E. 5</w:t>
      </w:r>
    </w:p>
    <w:p>
      <w:r>
        <w:t>Reste à examiner si la recourante a droit à une IPAI.</w:t>
      </w:r>
    </w:p>
    <w:p>
      <w:r>
        <w:rPr>
          <w:b/>
        </w:rPr>
        <w:t>E. 5.1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1re phrase) ; elle ne doit pas excéder le montant maximum du gain annuel assuré à l'époque de l'accident et elle est échelonnée selon la gravité de l'atteinte à l'intégrité (al. 1, 2e phrase). Le Conseil fédéral édicte des prescriptions détaillées sur le calcul de l'indemnité (al. 2). 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du Tribunal fédéral 8C_656/2022 du 5 juin 2023 consid. 3.4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113 V 218 consid. 4b et les références ; voir aussi 125 II 169 consid. 2d).</w:t>
      </w:r>
    </w:p>
    <w:p>
      <w:r>
        <w:rPr>
          <w:b/>
        </w:rPr>
        <w:t>E. 5.2</w:t>
      </w:r>
    </w:p>
    <w:p>
      <w:r>
        <w:t>Des troubles psychiques consécutifs à un accident ouvrent droit à une indemnité pour atteinte à l'intégrité lorsqu'il est possible de poser de manière indiscutable un pronostic individuel à long terme qui exclut pratiquement pour toute la vie une guérison ou une amélioration (ATF 124 V 209 consid. 2b ; 124 V 29 consid. 3). Pour se prononcer sur le caractère durable de l'atteinte à l'intégrité et sur la nécessité de mettre en œuvre une instruction d'ordre psychiatrique, on se fondera sur la pratique applicable à la question de la causalité adéquate en cas de troubles psychiques consécutifs à un accident (ATF 115 V 133 consid. 6 ; 115 V 403 consid. 5).</w:t>
      </w:r>
    </w:p>
    <w:p>
      <w:r>
        <w:rPr>
          <w:b/>
        </w:rPr>
        <w:t>E. 5.3</w:t>
      </w:r>
    </w:p>
    <w:p>
      <w:r>
        <w:t>Selon l’art. 36 OLAA, édicté conformément à la délégation de compétence de l’art. 25 al. 2 LAA, une atteinte à l'intégrité est réputée durable lorsqu'il est prévisible qu'elle subsistera avec au moins la même gravité pendant toute la vie (al. 1, 1 re phrase) ; elle est réputée importante lorsque l'intégrité physique ou mentale subit, indépendamment de la diminution de la capacité de gain, une altération évidente ou grave (al. 1, 2 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re phrase). Cette disposition a été jugée conforme à la loi en tant qu'elle définit le caractère durable de l'atteinte (ATF 133 V 224 consid. 2 ; arrêt du Tribunal fédéral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113 V 218 consid. 4b ; RAMA 2004 p. 415 ; arrêt du Tribunal fédéral U 134/03 du 12 janvier 2004 consid. 5.2). L'évaluation de l'atteinte à l'intégrité se fonde sur les constats médicaux, de sorte qu'il incombe, dans un premier temps, au médecin de se prononcer, en tenant compte des atteintes énumérées à l'annexe 3 de l'OLAA et dans les tables de la SUVA, sur la question de savoir si, et dans quelle mesure, il existe un dommage.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 aux données médicales, l'évaluation de l'atteinte à l'intégrité, en tant que fondement du droit aux prestations, relève, en fin de compte, de leur domaine de compétence ( cf. arrêt du Tribunal fédéral 8C_746/2022 du 18 octobre 2023 consid. 4.2 et les références ; sur la répartition des tâches entre le médecin et l'administration ou le tribunal, cf. également ATF 140 V 193 consid. 3.2).</w:t>
      </w:r>
    </w:p>
    <w:p>
      <w:r>
        <w:rPr>
          <w:b/>
        </w:rPr>
        <w:t>E. 6</w:t>
      </w:r>
    </w:p>
    <w:p>
      <w:r>
        <w:t>Dans la décision entreprise, l’intimée a nié le droit de la recourante à l’octroi d’une IPAI sur la base des expertises des Dr E______ et D______. Sur le plan rhumatologique, le Dr E______ a en particulier constaté qu’objectivement, la recourante ne présentait qu’une dermite ocre sans fragilité tissulaire significative, associée à une hypodysesthésie localisée qui ne justifiait pas d’IPAI. Il a ajouté que l’intéressée n’avait aucun trouble dégénératif secondaire de ces anciennes fractures à la dernière Scinti-Spect-CT-scan. La Dre D______ a relevé quant à elle que l’accident n’avait provoqué aucun dommage permanent du point de vue psychiatrique. La recourante estime pour sa part que ses atteintes sont graves et durables. Elle relève qu’aucune perspective d’amélioration n’est envisageable et qu’il n’existe aucun emploi adapté à son état de santé sur le marché du travail. Elle ajoute que l’accident a entrainé un état dépressif récurrent avec une hospitalisation à la Clinique du Salève. Il sied toutefois de rappeler que le taux d'une atteinte à l'intégrité doit être évalué exclusivement sur la base de constatations médicales. Or, la recourante ne s'appuie sur aucun élément médical pour critiquer l'appréciation des Drs E______ et D______ quant à l’IPAI. La chambre de céans observe par ailleurs que les experts ont pris en considération l’intégralité des éléments médicaux au dossier et pris position sur l’IPAI de manière convaincante. Comme déjà indiqué, le contexte médical a été clairement décrit par ces deux spécialistes et leurs conclusions sont motivées. C’est partant à juste titre que l’intimée a nié le droit de la recourante à l’octroi d’une IPAI. Au vu de ce qui précède, par appréciation anticipée des preuves (ATF 122 II 464 consid. 4a), il n’est pas nécessaire de mettre sur pied une expertise judiciaire. Il ne sera pas non plus donné suite à la demande d’apport de la procédure de l’assurance-invalidité, dès lors que le dossier contient toutes les pièces utiles pour statuer sur les questions pertinentes en matière d’assurance-accidents. Il sera du reste précisé que la recourante, qui avait accès à son dossier de l’assurance-invalidité, a eu l’occasion, tant devant la chambre de céans que lors de la procédure d’opposition, de produire tous les documents médicaux utiles pour soutenir son argumentation.</w:t>
      </w:r>
    </w:p>
    <w:p>
      <w:r>
        <w:rPr>
          <w:b/>
        </w:rPr>
        <w:t>E. 7</w:t>
      </w:r>
    </w:p>
    <w:p>
      <w:r>
        <w:t>Le recours est rejeté. La recourante, qui succombe, n'a pas droit à des dépens (art. 61 let. g LPGA a contrario ).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