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A/3984/2015 vom 22. Dezember 2015</w:t>
      </w:r>
    </w:p>
    <w:p>
      <w:r>
        <w:t>GE Cour de justice, 2015-12-22, FR</w:t>
      </w:r>
    </w:p>
    <w:p>
      <w:r>
        <w:rPr>
          <w:b/>
        </w:rPr>
        <w:t xml:space="preserve">Quelle: </w:t>
      </w:r>
      <w:r>
        <w:t>https://mcp.opencaselaw.ch/entscheid/ge_gerichte_A_3984_2015</w:t>
      </w:r>
    </w:p>
    <w:p>
      <w:r>
        <w:t>FR: GE_GERICHTE A/3984/2015 du 22 décembre 2015</w:t>
      </w:r>
    </w:p>
    <w:p>
      <w:r>
        <w:t>IT: GE_GERICHTE A/3984/2015 del 22 dicembre 2015</w:t>
      </w:r>
    </w:p>
    <w:p>
      <w:pPr>
        <w:pStyle w:val="Heading2"/>
      </w:pPr>
      <w:r>
        <w:t>Erwägungen</w:t>
      </w:r>
    </w:p>
    <w:p>
      <w:r>
        <w:rPr>
          <w:b/>
        </w:rPr>
        <w:t>E.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w:t>
      </w:r>
    </w:p>
    <w:p>
      <w:r>
        <w:rPr>
          <w:b/>
        </w:rPr>
        <w:t>E. 2</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2010).![endif]&gt;![if&gt;</w:t>
      </w:r>
    </w:p>
    <w:p>
      <w:r>
        <w:rPr>
          <w:b/>
        </w:rPr>
        <w:t>E. 3</w:t>
      </w:r>
    </w:p>
    <w:p>
      <w:r>
        <w:t>L’autorité peut d’office ou sur requête ordonner des mesures provisionnelles en exigeant au besoin des sûretés (art. 21 al. 1 LPA).![endif]&gt;![if&gt;</w:t>
      </w:r>
    </w:p>
    <w:p>
      <w:r>
        <w:rPr>
          <w:b/>
        </w:rPr>
        <w:t>E. 4</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w:t>
      </w:r>
    </w:p>
    <w:p>
      <w:r>
        <w:rPr>
          <w:b/>
        </w:rPr>
        <w:t>E. 5</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(fût-elle défavorable à l'administré),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w:t>
      </w:r>
    </w:p>
    <w:p>
      <w:r>
        <w:rPr>
          <w:b/>
        </w:rPr>
        <w:t>E.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w:t>
      </w:r>
    </w:p>
    <w:p>
      <w:r>
        <w:rPr>
          <w:b/>
        </w:rPr>
        <w:t>E. 7</w:t>
      </w:r>
    </w:p>
    <w:p>
      <w:r>
        <w:t>Parmi les domaines dans lesquels le recours n’a pas effet suspensif figurent les marchés publics, soumis ou non aux traités internationaux (art. 17 al. 1 AIMP ; art. 58 al. 1 du règlement sur la passation des marchés publics du 17 décembre 2007 – RMP – L 6 05.01). La restitution de cet effet constitue alors une exception et représente une mesure dont les conditions ne peuvent être admises qu’avec restitution ( ATA/742/2015 du 17 juillet 2015).![endif]&gt;![if&gt;</w:t>
      </w:r>
    </w:p>
    <w:p>
      <w:r>
        <w:rPr>
          <w:b/>
        </w:rPr>
        <w:t>E. 8</w:t>
      </w:r>
    </w:p>
    <w:p>
      <w:r>
        <w:t>En l’espèce, la recourante soutient que l’appel à candidatures pour l’octroi d’une concession d’occupation du domaine public est en réalité un appel d’offres soumis à la réglementation sur les marchés publics, alors que le texte paru dans la FAO du 3 novembre 2015 l’exclut. Si l’octroi de concession échappe en principe aux règles sur les marchés publics, encore faut-il vérifier que l’on se trouve bien en présence d’un rapport autorité concédante – concessionnaire, cela afin d’éviter qu’une collectivité publique puisse, par le biais de l’octroi d’une concession, détourner l’application des règles sur les marchés publics (ATF 135 II 49 consid. 4.4).![endif]&gt;![if&gt; La question peut se poser en l’espèce dès lors que la mise en œuvre d’un système de location automatisée de vélos en libre-service dans le canton de Genève a fait l’objet d’une procédure d’appel d’offres soumise aux accords internationaux en matière de marchés publics le 6 mars 2012, qu’une adjudication est intervenue en septembre 2012 mais a été révoquée le 6 février 2013, que l’appel d’offres a été interrompu le 8 juin 2015, décision qui a fait l’objet d’un recours d’une société autre qu’Intermobility SA, pendant par-devant la chambre de céans et auquel la restitution de l’effet suspensif a été requise ( ATA/742/2015 déjà cité). La réponse nécessite une instruction. Interjeté en temps utile, en regard des dispositions de l’AIMP qui pourraient être applicables, et devant la juridiction compétente (art. 15 AIMP, art. 55 et 56 RMP ; art. 62 LPA), le recours n’est donc pas manifestement irrecevable ni dénué de chance de succès.</w:t>
      </w:r>
    </w:p>
    <w:p>
      <w:r>
        <w:rPr>
          <w:b/>
        </w:rPr>
        <w:t>E. 9</w:t>
      </w:r>
    </w:p>
    <w:p>
      <w:r>
        <w:t>Il y a dès lors lieu d’examiner si les raisons pour permettre la poursuite de la procédure d’octroi de concession d’occupation du domaine public l’emportent sur celles justifiant sa suspension. ![endif]&gt;![if&gt; S’il n’est pas douteux que la mise en place d’un système de vélos en libre-service réponde à un intérêt public important, l’intérêt public au respect du principe de la légalité pour y parvenir l’est davantage. En revanche, l’intérêt privé dont se prévaut la recourante de pourvoir participer à un appel d’offres n’est prépondérant à aucun des intérêts publics précités, étant de nature circonstancielle et purement économique, ce d’autant que le délai pour déposer une candidature n’est pas échu.</w:t>
      </w:r>
    </w:p>
    <w:p>
      <w:r>
        <w:rPr>
          <w:b/>
        </w:rPr>
        <w:t>E. 10</w:t>
      </w:r>
    </w:p>
    <w:p>
      <w:r>
        <w:t>Au vu de ce qui précède, il n’y a pas lieu d’interrompre le déroulement du processus d’appel à candidatures jusqu’à l’échéance fixée par l’entité organisatrice pour le dépôt des dossiers. En revanche, il sera fait interdiction à l’entité organisatrice de procéder à l’ouverture et à l’évaluation des offres reçues jusqu’à droit jugé ou nouvelle décision sur mesures provisionnelles dans la présente cause.![endif]&gt;![if&gt;</w:t>
      </w:r>
    </w:p>
    <w:p>
      <w:r>
        <w:rPr>
          <w:b/>
        </w:rPr>
        <w:t>E. 11</w:t>
      </w:r>
    </w:p>
    <w:p>
      <w:r>
        <w:t>La question de savoir si la qualité de parties doit être admise pour tous les intimés visés peut demeurer en l’état ouverte, celle du Conseil d’État étant incontestable (art. 16 al. 1 de la loi sur le domaine public du 24 juin 1961 – LDPu – L 1 05).![endif]&gt;![if&gt;</w:t>
      </w:r>
    </w:p>
    <w:p>
      <w:r>
        <w:rPr>
          <w:b/>
        </w:rPr>
        <w:t>E. 12</w:t>
      </w:r>
    </w:p>
    <w:p>
      <w:r>
        <w:t>La requête de mesures provisionnelles ainsi partiellement admise dans la mesure susmentionnée. ![endif]&gt;![if&gt; Le sort des frais sera réservé jusqu’à droit jugé au fond. LA CHAMBRE ADMINISTRATIVE admet partiellement la requête de mesures provisionnelles de la société Intermobility SA ; fait interdiction à TPG Vélo SA de procéder à l’ouverture des offres reçues en réponse à l’appel à candidatures pour l’attribution d’une concession d’occupation du domaine public, publié dans la FAO du 3 novembre 2015 ; fait interdiction à TPG Vélo SA de procéder à l’évaluation des offres susmentionnées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Urs Portmann, avocat de la recourante ainsi qu'à Me Bertrand Reich, avocat de TPG Vélo SA, du Conseil d’État, et des six communes visées dans le recours.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