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A/3983/2019 vom 12. November 2019</w:t>
      </w:r>
    </w:p>
    <w:p>
      <w:r>
        <w:t>GE Cour de justice, 2019-11-12, FR</w:t>
      </w:r>
    </w:p>
    <w:p>
      <w:r>
        <w:rPr>
          <w:b/>
        </w:rPr>
        <w:t xml:space="preserve">Quelle: </w:t>
      </w:r>
      <w:r>
        <w:t>https://mcp.opencaselaw.ch/entscheid/ge_gerichte_A_3983_2019</w:t>
      </w:r>
    </w:p>
    <w:p>
      <w:r>
        <w:t>FR: GE_GERICHTE A/3983/2019 du 12 novembre 2019</w:t>
      </w:r>
    </w:p>
    <w:p>
      <w:r>
        <w:t>IT: GE_GERICHTE A/3983/2019 del 12 novembre 2019</w:t>
      </w:r>
    </w:p>
    <w:p>
      <w:pPr>
        <w:pStyle w:val="Heading2"/>
      </w:pPr>
      <w:r>
        <w:t>Volltext</w:t>
      </w:r>
    </w:p>
    <w:p>
      <w:r>
        <w:t>Genève Cour de justice (Cour de droit public) Chambre administrative 12.11.2019 A/3983/2019</w:t>
      </w:r>
    </w:p>
    <w:p>
      <w:r>
        <w:t>A/3983/2019 ATA/1663/2019 du 12.11.2019 ( PROF ) , REJETE Recours TF déposé le 03.01.2020, rendu le 06.01.2020, IRRECEVABLE, 2C_3/2020 En fait En droit RÉPUBLIQUE ET CANTON DE GENÈVE POUVOIR JUDICIAIRE A/3983/2019 - PROF ATA/1663/2019 COUR DE JUSTICE Chambre administrative Arrêt du 12 novembre 2019 1 ère section dans la cause Madame A______ Contre COMMISSION DU BARREAU et Madame B______ EN FAIT 1) Par acte mis à la poste le 28 octobre 2019, Madame A______ a saisi la chambre administrative de la Cour de justice (ci-après : la chambre administrative) d'un recours pour déni de justice visant la commission du barreau, à la suite d'une plainte qu'elle avait déposée à l'encontre de Madame B______, avocate. Il ressort du texte de ce recours, ainsi que des annexes produites par l'intéressée, que, dans le cadre d'un important litige opposant l'intéressée au père de sa fille, C______, Mme B______ a été nommée curatrice d'C______. Selon l'intéressée, dans le cadre de sa fonction de curatrice, Mme B______ avait déposé des actes de procédure en main du Tribunal civil qui étaient contraires à l'intérêt de sa protégée. Une première dénonciation avait été classée par décision du président de la commission du barreau du 25 juillet 2018, confirmée par une décision prise par cette commission, en séance plénière, le 12 novembre 2018. Mme A______ avait réitéré et complété sa dénonciation le 22 février 2019. Ce document avait été soumis à la séance plénière de la commission du barreau, laquelle avait rappelé à l'intéressée, le 10 avril 2019, que sa compétence ne s'étendait pas à la bonne exécution du mandat de la curatrice. L'intéressée avait sollicité, le 18 juillet 2019, une « vraie » instruction ; cette nouvelle sollicitation avait été soumise à la commission du barreau qui avait confirmé sa position antérieure. 2) Le recours a été transmis, pour information, à la commission du barreau.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ATA/1021/2016 du 6 décembre 2016 consid. 2).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4) a.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André GRISEL, Traité de droit administratif, vol. II, 1984, p. 950 ss). 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 135 II 145 consid. 6.1 ; 133 II 468 consid. 2 ; 132 II 250 consid. 4.4). Dans les procédures disciplinaires engagées contre des personnes exerçant une profession réglementée, le dénonciateur ou le plaignant n'est donc pas partie à la procédure ( ATA/841/2019 du 30 avril 2019 et les références citées). 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c. Selon l'art. 12 let. a de la loi fédérale sur la libre circulation des avocats du 23 juin 2000 (LLCA - RS 935.61), afférent aux règles professionnelles, l'avocat exerce sa profession avec soin et diligence. d. En vertu de l'art. 12 let. c LLCA, l'avocat évite tout conflit entre les intérêts de son client et ceux des personnes avec lesquelles il est en relation sur le plan professionnel ou privé. 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 5) 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les actions de Me B______ non pas dans l'exercice de sa profession d'avocate, mais dans le cadre de l'exécution d'un mandat de curatelle. Dès lors, les droits ou obligations de la dénonciatrice, au sens de l'art. 7 LPA, ne pourraient en aucun cas être touchés par les décisions rendues par la commission du barreau à la suite desdites dénonciations. Il n'y a donc pas lieu d'entrer en matière sur les reproches formulés par la recourante contre Mme B______. Vu ce qui précède, le recours est irrecevable pour défaut de la qualité pour recourir, sans autre acte d'instruction (art. 72 LPA). 6) Malgré l'issue du litige, aucun émolument ne sera mis à la charge de la recourante, laquelle a annoncé avoir déposé une demande d'assistance juridique dont l'issue n'est pas encore connue (art. 87 al. 1 LPA). Il ne sera pas alloué d'indemnité de procédure (art. 87 al. 2 LPA). * * * * * PAR CES MOTIFS LA CHAMBRE ADMINISTRATIVE déclare irrecevable le recours interjeté le 28 octobre 2019 par Madame A______ pour déni de justice contre la commission du barreau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Madame B______. Siégeant : M. Thélin, président, Mme Krauskopf,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