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A/3982/2024 vom 21. Oktober 2025</w:t>
      </w:r>
    </w:p>
    <w:p>
      <w:r>
        <w:t>GE Cour de justice, 2025-10-21, FR</w:t>
      </w:r>
    </w:p>
    <w:p>
      <w:r>
        <w:rPr>
          <w:b/>
        </w:rPr>
        <w:t xml:space="preserve">Quelle: </w:t>
      </w:r>
      <w:r>
        <w:t>https://mcp.opencaselaw.ch/entscheid/ge_gerichte_A_3982_2024</w:t>
      </w:r>
    </w:p>
    <w:p>
      <w:r>
        <w:t>FR: GE_GERICHTE A/3982/2024 du 21 octobre 2025</w:t>
      </w:r>
    </w:p>
    <w:p>
      <w:r>
        <w:t>IT: GE_GERICHTE A/3982/2024 del 21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un éventuel droit à une rente d’invalidité qui naitrait postérieurement au 31 décembre 2021, la demande de prestations ayant été déposée le 16 mars 2023, de sorte que les dispositions légales applicables seront citées dans leur nouvelle teneur.</w:t>
      </w:r>
    </w:p>
    <w:p>
      <w:r>
        <w:rPr>
          <w:b/>
        </w:rPr>
        <w:t>E. 2.1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2.2</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2.3</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w:t>
      </w:r>
    </w:p>
    <w:p>
      <w:r>
        <w:rPr>
          <w:b/>
        </w:rPr>
        <w:t>E. 2.4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 cf. ATF 141 V 281 consid. 4.4 et les références).</w:t>
      </w:r>
    </w:p>
    <w:p>
      <w:r>
        <w:rPr>
          <w:b/>
        </w:rPr>
        <w:t>E. 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2.6</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2.7</w:t>
      </w:r>
    </w:p>
    <w:p>
      <w:r>
        <w:t>Le trouble de l'adaptation est une atteinte à la santé psychique qui n'est, en principe, pas considérée comme une maladie de longue durée et donc potentiellement invalidante. Un trouble de l'adaptation dure rarement plus de six mois (arrêt du Tribunal fédéral 9C_408/2023 du 23 avril 2024 consid. 5.2 et les références). Cependant, selon la Classification internationale des maladies et des problèmes de santé connexes, 10 e révision (CIM-10),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 qu'il appartient au psychiatre d'établir conformément à la procédure probatoire définie à l'ATF 141 V 281 -, être relevant pour l'octroi d'une rente de l'assurance-invalidité (arrêt du Tribunal fédéral 9C_408/2023 du 23 avril 2024 consid. 5.2 et les références).</w:t>
      </w:r>
    </w:p>
    <w:p>
      <w:r>
        <w:rPr>
          <w:b/>
        </w:rPr>
        <w:t>E. 3.1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 Si l’expert s'acquitte de sa tâche de manière convaincante et sur la base d'une expertise qui a été établie conformément au schéma d'évaluation de l’ATF 141 V 281 ,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3.2</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4.2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w:t>
      </w:r>
    </w:p>
    <w:p>
      <w:r>
        <w:t>En l’occurrence, dans son expertise administrative du 2 novembre 2023, le Dr J______ a constaté l’absence de ralentissement psychométrique et des fonctions cognitives préservées chez le recourant, avec un fonctionnement cognitif considéré comme optimal, tant du point de vue de la mémorisation que de la concentration (expertise du BEM du 29 avril 2025, pp. 29, 30 et 34). En revanche, l’expert N______ a considéré que la concentration et les capacités cognitives du recourant étaient diminuées (expertise du Dr N______ du 29 avril 2025, p. 26). Au status clinique, il note la présence de troubles de la concentration modérés cliniquement, un ralentissement psychomoteur modéré et une fatigue objectivable (expertise du Dr N______ du 29 avril 2025, pp. 27 et 28 et complément d’expertise du 25 juin 2025, p. 2). Au vu de ces deux avis divergents, il convient d’ordonner un examen neuropsychologique, lequel sera confié à P______. La mission d’expertise sera complétée dans le sens requis par l’intimé. PAR CES MOTIFS, LA CHAMBRE DES ASSURANCES SOCIALES : Statuant préparatoirement I. Ordonne un examen neuropsychologique de A______. Commet à ces fins P______, MAS en neuropsychologie clinique, rue Q______, Genève. Dit que la mission d’expertise sera la suivante : A.  Prendre connaissance du dossier. B.  Rendre un rapport d’examen neuropsychologique, comprenant les tests de validation des symptômes et de QI, et répondre notamment aux questions suivantes : 1.    Quelles sont les limitations neuropsychologiques de la personne expertisée ? 2.    Ont-elles un impact sur la capacité de travail de la personne expertisée ? Si oui, dans quelle mesure et de quelle manière ? 3.    Faire toutes autres remarques. II. Invite l’experte à déposer, dans les meilleurs délais , son rapport en trois exemplaires auprès de la chambre de céans. III. Réserve le fond ainsi que le sort des frais jusqu’à droit jugé au fond. La greffière Adriana MALANGA La présidente 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