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A/3980/2021 vom 27. Januar 2022</w:t>
      </w:r>
    </w:p>
    <w:p>
      <w:r>
        <w:t>GE Cour de justice, 2022-01-27, FR</w:t>
      </w:r>
    </w:p>
    <w:p>
      <w:r>
        <w:rPr>
          <w:b/>
        </w:rPr>
        <w:t xml:space="preserve">Quelle: </w:t>
      </w:r>
      <w:r>
        <w:t>https://mcp.opencaselaw.ch/entscheid/ge_gerichte_A_3980_2021</w:t>
      </w:r>
    </w:p>
    <w:p>
      <w:r>
        <w:t>FR: GE_GERICHTE A/3980/2021 du 27 janvier 2022</w:t>
      </w:r>
    </w:p>
    <w:p>
      <w:r>
        <w:t>IT: GE_GERICHTE A/3980/2021 del 27 gennaio 2022</w:t>
      </w:r>
    </w:p>
    <w:p>
      <w:pPr>
        <w:pStyle w:val="Heading2"/>
      </w:pPr>
      <w:r>
        <w:t>Erwägungen</w:t>
      </w:r>
    </w:p>
    <w:p>
      <w:r>
        <w:rPr>
          <w:b/>
        </w:rPr>
        <w:t>E. 3</w:t>
      </w:r>
    </w:p>
    <w:p>
      <w:r>
        <w:t>ème Chambre En la cause Monsieur A______, domicilié à GENÈVE recourant contre SERVICE DES PRESTATIONS COMPLÉMENTAIRES, sis route de Chêne 54, GENÈVE intimé EN FAIT A. a. Par décision du 20 septembre 2021, le service des prestations complémentaires (ci-après : le SPC), après un recalcul tenant compte des revenus réalisés par l'épouse de l'intéressé, a réclamé à Monsieur A______ (ci-après : le bénéficiaire) le remboursement de CHF 18'184.-, correspondant aux prestations versées à tort du 1 er janvier 2019 au 30 septembre 2021. b. Le 15 octobre 2021, le bénéficiaire s’est opposé à cette décision, en faisant valoir en substance que les prestations qui lui avaient été versées durant la période litigieuse constitueraient un droit acquis, qu'il était de bonne foi et n'avait pas les moyens de rembourser. c. Par décision du 3 novembre 2021, le SPC a rejeté l’opposition, en expliquant que les décisions d’octroi de prestations pouvaient être modifiées avec effet ex tunc indépendamment d’une éventuelle violation de l’obligation de renseigner. La demande de remise contenue dans l’opposition serait examinée ultérieurement. B. a. Par écriture du 22 novembre 2021, le bénéficiaire a interjeté recours contre cette décision. En substance, il allègue que ni lui, ni son épouse n’ont jamais eu l’intention de dissimuler quoi que ce soit au SPC. Il ajoute que l’argent a d’ores et déjà été dépensé pour leurs frais courants et le paiement des primes d'assurance-maladie de leur fils. Il explique que leur situation économique est difficile et demande en conséquence que leur soit accordée la remise de l’obligation ou une réduction du montant à restituer, vu leur bonne foi. b. Invité à se déterminer, l’intimé, dans sa réponse du 20 décembre 2021, a conclu à l'irrecevabilité du recours. L’intimé constate que le bénéficiaire ne conteste pas les éléments de calcul retenus, mais se contente d'invoquer sa bonne foi et sa situation financière difficile. Il rappelle que la demande de remise fera l’objet d’une décision séparée ultérieure. c. Par écriture du 14 janvier 2022, le recourant a réaffirmé n'avoir jamais eu l'intention d’induire le SPC en erreur.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2.1 Selon l'art. 89B de la loi cantonale du 12 septembre 1985 sur la procédure administrative (LPA ; E 5 10), l'acte de recours doit contenir un exposé succinct des faits et des motifs invoqués ainsi que des conclusions. Selon la jurisprudence, un recours ne comportant que des arguments sur le fond interjeté contre un jugement d'irrecevabilité est considéré comme dépourvu de motivation topique et non valable (cf. ATF 123 V 335 ; ATF 9C_632/2008 ).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2.2 Tel est précisément le cas en l'occurrence, le recourant ne contestant pas que les prestations dont il est question lui ont été versées à tort. Dans ces conditions, il convient de déclarer le recours irrecevable et de renvoyer la cause à l’intimé comme valant demande de remise objet de sa compétence.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