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A/3974/2023 vom 15. Oktober 2024</w:t>
      </w:r>
    </w:p>
    <w:p>
      <w:r>
        <w:t>GE Cour de justice, 2024-10-15, FR</w:t>
      </w:r>
    </w:p>
    <w:p>
      <w:r>
        <w:rPr>
          <w:b/>
        </w:rPr>
        <w:t xml:space="preserve">Quelle: </w:t>
      </w:r>
      <w:r>
        <w:t>https://mcp.opencaselaw.ch/entscheid/ge_gerichte_A_3974_2023</w:t>
      </w:r>
    </w:p>
    <w:p>
      <w:r>
        <w:t>FR: GE_GERICHTE A/3974/2023 du 15 octobre 2024</w:t>
      </w:r>
    </w:p>
    <w:p>
      <w:r>
        <w:t>IT: GE_GERICHTE A/3974/2023 del 15 ottobre 2024</w:t>
      </w:r>
    </w:p>
    <w:p>
      <w:pPr>
        <w:pStyle w:val="Heading2"/>
      </w:pPr>
      <w:r>
        <w:t>Erwägungen</w:t>
      </w:r>
    </w:p>
    <w:p>
      <w:r>
        <w:rPr>
          <w:b/>
        </w:rPr>
        <w:t>E. 2</w:t>
      </w:r>
    </w:p>
    <w:p>
      <w:r>
        <w:t>Le litige porte sur la conformité au droit de la décision constatant la caducité de l’AUADP du recourant en raison de son âge. Le recourant considère en substance que l’art. 13 al. 9 let. c LTVTC viole, notamment,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VTC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2C_985/2019 et 2C_45/2020 du 26 mai 2020 consid. 6.3). 2.5.2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2.6</w:t>
      </w:r>
    </w:p>
    <w:p>
      <w:r>
        <w:t>Dans ses arrêts ACST/25/2022 , ACST/26/2022 et ACST/27/2022 du 22 décembre 2022, la chambre constitutionnelle a admis la conformité au droit supérieur de la LTVTC sur plusieurs points, dont l’art. 13 al. 9 let. c LTVTC.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chauffeur de VTC. En outre, elle n’emportait aucune inégalité de traitement entre concurrents directs, conformément à la jurisprudence rendue en la matière, notamment concernant la distinction entre chauffeurs de taxi et chauffeurs de VTC (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 ACST/18/2022 du 31 octobre 2022 consid. 4). La chambre constitutionnelle a également rappelé que l’AUADP octroyée aux chauffeurs de taxis ne conférait généralement pas de droits acquis, à moins de garanties spécifiquement obtenues concernant la poursuite de l’activité de location de plaques, ce qui n’était pas le cas dans les affaires dont elle était saisie ( ACST/26/2022 ; ACST/27/2022 ).</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La direction ne pouvait se fonder sur la condamnation de l’OCV pour révoquer son autorisation d’exercer sans examiner si celle-ci était effectivement incompatible avec l’exercice de la profession de chauffeur dans les circonstances d’espèce ( ATA/371/2024 du 12 mars 2024 consid. 5 ; ATA/330/2024 du 5 mars 2024 consid. 5).</w:t>
      </w:r>
    </w:p>
    <w:p>
      <w:r>
        <w:rPr>
          <w:b/>
        </w:rPr>
        <w:t>E. 2.8</w:t>
      </w:r>
    </w:p>
    <w:p>
      <w:r>
        <w:t>En l’espèce, le recourant se plaint principalement du fait que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de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Enfin, les griefs du recourant relatifs à la transparence du processus ainsi qu'à l'impossibilité subséquente de percevoir une compensation de CHF 40'000.- sont exorbitants au litige, la décision attaquée ne portant que sur le non-renouvellement de son AUADP. Quoi qu'il en soit, les explications de la direction à cet égard apparaissent convaincantes, à savoir que la limite d'âge ressort de différents textes dont il pouvait avoir connaissance et qu'il ne remplissait pas les conditions de l'art. 46 al. 10 LTVTC.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