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A/3972/2007 vom 22. November 2007</w:t>
      </w:r>
    </w:p>
    <w:p>
      <w:r>
        <w:t>GE Cour de justice, 2007-11-22, FR</w:t>
      </w:r>
    </w:p>
    <w:p>
      <w:r>
        <w:rPr>
          <w:b/>
        </w:rPr>
        <w:t xml:space="preserve">Quelle: </w:t>
      </w:r>
      <w:r>
        <w:t>https://mcp.opencaselaw.ch/entscheid/ge_gerichte_A_3972_2007</w:t>
      </w:r>
    </w:p>
    <w:p>
      <w:r>
        <w:t>FR: GE_GERICHTE A/3972/2007 du 22 novembre 2007</w:t>
      </w:r>
    </w:p>
    <w:p>
      <w:r>
        <w:t>IT: GE_GERICHTE A/3972/2007 del 22 novembre 2007</w:t>
      </w:r>
    </w:p>
    <w:p>
      <w:pPr>
        <w:pStyle w:val="Heading2"/>
      </w:pPr>
      <w:r>
        <w:t>Regeste</w:t>
      </w:r>
    </w:p>
    <w:p>
      <w:r>
        <w:t>Réquisition de continuer la poursuite. Péremption. | Réquisition de continuer la poursuite tardive. | LP.88.2</w:t>
      </w:r>
    </w:p>
    <w:p>
      <w:pPr>
        <w:pStyle w:val="Heading2"/>
      </w:pPr>
      <w:r>
        <w:t>Erwägungen</w:t>
      </w:r>
    </w:p>
    <w:p>
      <w:r>
        <w:rPr>
          <w:b/>
        </w:rPr>
        <w:t>E. 1</w:t>
      </w:r>
    </w:p>
    <w:p>
      <w:r>
        <w:t>La présente plainte a été déposée en temps utile et dans les formes prescrites auprès de l’autorité compétente contre la décision de l'Office de ne pas donner suite à la réquisition de continuer la poursuite. En tant que poursuivante, qui a formé cette réquisition, la plaignante a qualité pour agir par cette voie (art. 17 LP ; art. 10 al. 1 et 13 LaLP ; art. 56R al. 3 LOJ). Elle est donc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ce recours ordinaire assorti d’effet suspensif et, en cas de recours, jusqu’à ce que le créancier soit en mesure d’obtenir du tribunal l’attestation d’entrée en force du jugement rendu (ATF 126 III 479 consid. 2a, JdT 2000 II 84). Le Tribunal fédéral a encore récemment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2.b. En l'espèce, il est établi, que le commandement de payer a été notifié le 27 avril 2006, ce fait n'est au demeurant pas contesté par la plaignante, et qu'aucune procédure tendant à lever l'opposition n'a été intentée -le poursuivi a retiré son opposition le 20 juillet 2007-. La réquisition de continuer la poursuite devait donc être déposée le 28 avril 2007 au plus tard. La réquisition de la plaignante, datée du 13 septembre 2007 et enregistrée par l'Office le 27 du même mois, est donc manifestement tardive. Force est ainsi de constater que la décision de l'Office est conforme à la loi. La plainte sera donc rejetée.</w:t>
      </w:r>
    </w:p>
    <w:p>
      <w:r>
        <w:rPr>
          <w:b/>
        </w:rPr>
        <w:t>E. 3</w:t>
      </w:r>
    </w:p>
    <w:p>
      <w:r>
        <w:t>A titre superfétatoire, la Commission de céans relèvera qu'il ressort de la pièce produite par l'Office, soit l'enveloppe contenant l'exemplaire pour le créancier du commandement de payer, que cet acte a été communiqué à la plaignante par pli recommandé du 9 mai 2006 et non le 2 mai 2007, comme indiqué sur l'acte de poursuite considéré lequel contient manifestement une erreur de plume. La précitée, qui a requis une première fois la réquisition de continuer la poursuite le 11 avril 2007 ne saurait donc prétendre que dit acte ne lui jamais été communiqué avant l'envoi du duplicata qu'elle a reçu le 29 mai 2007. * * * * * PAR CES MOTIFS, LA COMMISSION DE SURVEILLANCE SIÉGEANT EN SECTION : A la forme : Déclare recevable la plainte formée le 23 octobre 2007 par Caisse A______ contre la décision de l'Office des poursuites du 12 octobre 2007 dans le cadre de la poursuite n° 06 xxxx65 N. Au fond : 1. La rejette. 2. Déboute la plaignante de toutes autres conclusions. Siégeant : Mme Ariane WEYENETH, présidente ; MM. Didier BROSSET et Olivier WEHRLI,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