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A/396/2021 vom 13. Juni 2023</w:t>
      </w:r>
    </w:p>
    <w:p>
      <w:r>
        <w:t>GE Cour de justice, 2023-06-13, FR</w:t>
      </w:r>
    </w:p>
    <w:p>
      <w:r>
        <w:rPr>
          <w:b/>
        </w:rPr>
        <w:t xml:space="preserve">Quelle: </w:t>
      </w:r>
      <w:r>
        <w:t>https://mcp.opencaselaw.ch/entscheid/ge_gerichte_A_396_2021</w:t>
      </w:r>
    </w:p>
    <w:p>
      <w:r>
        <w:t>FR: GE_GERICHTE A/396/2021 du 13 juin 2023</w:t>
      </w:r>
    </w:p>
    <w:p>
      <w:r>
        <w:t>IT: GE_GERICHTE A/396/2021 del 13 giugno 2023</w:t>
      </w:r>
    </w:p>
    <w:p>
      <w:pPr>
        <w:pStyle w:val="Heading2"/>
      </w:pPr>
      <w:r>
        <w:t>Regeste</w:t>
      </w:r>
    </w:p>
    <w:p>
      <w:r>
        <w:t>AMÉNAGEMENT DU TERRITOIRE ET DROIT PUBLIC DES CONSTRUCTIONS;CONSTRUCTION ET INSTALLATION;PERMIS DE CONSTRUIRE;QUALITÉ POUR AGIR ET RECOURIR;CONCLUSIONS;VOISIN;INTÉRÊT DIGNE DE PROTECTION;FORMALISME EXCESSIF;DROIT D'ÊTRE ENTENDU;POUVOIR D'APPRÉCIATION;OBJET DU LITIGE;OBJET DU RECOURS;ARBRE;PROTECTION DE LA NATURE ET DU PAYSAGE | recours contre un jugement du TAPI confirmant une autorisation de construire une habitation sur une parcelle sise en zone 5. Examen de la qualité pour recourir des voisins sous l'angle de l'intérêt digne de protection. Examen de la recevabilité du recours ; recours recevable même si les voisins n'ont pas expressément conclu à l'annulation du jugement attaqué et de la décision querellée. Conclusions prises devant la chambre administrative irrecevables et au demeurant exorbitantes à l'objet du litige. Rien ne permet de retenir que l’autorité intimée aurait abusé de son pouvoir d’appréciation en se fondant notamment sur le préavis favorable de l'OCAN pour délivrer l’autorisation de construire. Ce dernier a exigé la prise de toutes les précautions nécessaires afin de protéger les arbres maintenus à proximité des travaux et exigé qu'un arboriste-conseil soit mandaté à l'ouverture du chantier. Le plan d'aménagement paysager prévoit l'installation d'une protection racinaire avec dalle suspendue sur le chemin d'accès à la future construction à l'endroit où se trouve le domaine vital de l'arbre litigieux. Mesures jugées suffisantes pour assurer la protection de la végétation, et l'existence d'éventuelles solutions alternatives ne permet pas de retenir le contraire. Recours rejeté. | Cst.5; Cst.9; Cst.29.al1; LPA.18; LPA.19; LPA.20; LPA.37.letc; LPA.60.al1.leta; LPA.60.al1.letb; LPA.61.al1; LPA.65; CC.8; LPMNS.1.letc; LPMNS.35; LPMNS.36.al1; RCVA.1; RCVA.2.al1; RCVA.14; RCVA.16</w:t>
      </w:r>
    </w:p>
    <w:p>
      <w:pPr>
        <w:pStyle w:val="Heading2"/>
      </w:pPr>
      <w:r>
        <w:t>Erwägungen</w:t>
      </w:r>
    </w:p>
    <w:p>
      <w:r>
        <w:rPr>
          <w:b/>
        </w:rPr>
        <w:t>E. 3</w:t>
      </w:r>
    </w:p>
    <w:p>
      <w:r>
        <w:t>Dans un grief d’ordre formel qu’il convient d’examiner avant les griefs au fond (ATF 141 V 495 consid. 2.2 et les arrêts cités), les recourantes se plaignent implicitement d’une violation de leur droit d’être entendues, dans la mesure où le TAPI n'aurait pas donné suite à leur demande de transport sur place, demande qu’elles réitèrent, implicitement également, devant la chambre de céans.![endif]&gt;![if&gt;</w:t>
      </w:r>
    </w:p>
    <w:p>
      <w:r>
        <w:rPr>
          <w:b/>
        </w:rPr>
        <w:t>E. 3.1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et les références citées).![endif]&gt;![if&gt;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 er avril 2021 consid. 3.1 ; 2C_41/2020 du 24 juin 2020 consid. 5.1.1 ; ATA/444/2023 du 26 avril 2023 consid. 2.1).</w:t>
      </w:r>
    </w:p>
    <w:p>
      <w:r>
        <w:rPr>
          <w:b/>
        </w:rPr>
        <w:t>E. 3.2</w:t>
      </w:r>
    </w:p>
    <w:p>
      <w:r>
        <w:t>La procédure administrative est en principe écrite ; toutefois, si le règlement et la nature de l'affaire le requièrent, l'autorité peut procéder oralement (art. 18 LPA).![endif]&gt;![if&gt;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Afin de constater un fait par elle-même, l’autorité peut notamment ordonner le transport sur place (art. 37 let. c LPA).</w:t>
      </w:r>
    </w:p>
    <w:p>
      <w:r>
        <w:rPr>
          <w:b/>
        </w:rPr>
        <w:t>E. 3.3</w:t>
      </w:r>
    </w:p>
    <w:p>
      <w:r>
        <w:t>En l'espèce, à l’instar du TAPI, la chambre de céans considère que le dossier est complet et en état d’être jugé. Ce dernier contient le dossier de l'autorité intimée, dont de nombreux plans, ainsi que des photos apportées par les recourantes elles-mêmes, qui permettent de visualiser parfaitement les lieux, y compris l'actuelle voie d'accès à la future construction. ![endif]&gt;![if&gt; La tenue d'un transport sur place n’est donc ni utile, ni nécessaire à la solution du litige, comme cela ressort des considérants qui suivent. Il ne sera ainsi pas donné suite à la demande d’acte d’instruction des recourantes. Pour les mêmes motifs, le grief d’une prétendue violation de leur droit d’être entendues par le TAPI sera écarté.</w:t>
      </w:r>
    </w:p>
    <w:p>
      <w:r>
        <w:rPr>
          <w:b/>
        </w:rPr>
        <w:t>E. 4</w:t>
      </w:r>
    </w:p>
    <w:p>
      <w:r>
        <w:t>Les recourantes se plaignent en substance et implicitement d'une violation des art. 1, 14 et 16 du règlement sur la conservation de la végétation arborée du 27 octobre 1999 (RCVA - L 4 05.04). ![endif]&gt;![if&gt;</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2).![endif]&gt;![if&gt;</w:t>
      </w:r>
    </w:p>
    <w:p>
      <w:r>
        <w:rPr>
          <w:b/>
        </w:rPr>
        <w:t>E. 4.2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4.1.3).![endif]&gt;![if&gt; L'opportunité a trait au choix entre plusieurs solutions offertes à l'autorité compétente, toutes valables juridiquement. Une erreur relative à l'opportunité d'une décision est donc de type politique : la décision est conforme au droit, mais ce n'est pas la plus habile, la plus intelligente ou la plus utile (Thierry TANQUEREL, Manuel de droit administratif, 2 e édition, 2018, p. 316 n. 892).</w:t>
      </w:r>
    </w:p>
    <w:p>
      <w:r>
        <w:rPr>
          <w:b/>
        </w:rPr>
        <w:t>E. 4.3</w:t>
      </w:r>
    </w:p>
    <w:p>
      <w:r>
        <w:t>Comme déjà évoqué, en matière administrative,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(ATF 112 Ib 65 consid. 3 ; arrêt du Tribunal fédéral 1C_170/2011 du 18 août 2011 consid. 3.2 ; ATA/278/2021 du 2 mars 2021 consid. 6 ; Thierry TANQUEREL, Manuel de droit administratif, 2 e édition, 2018, p. 528 n. 1563 ; Pierre MOOR/Étienne POLTIER, Droit administratif, vol. 2, 3e éd., 2011, p. 296 ss n. 2.2.6.4).![endif]&gt;![if&gt;</w:t>
      </w:r>
    </w:p>
    <w:p>
      <w:r>
        <w:rPr>
          <w:b/>
        </w:rPr>
        <w:t>E. 4.4</w:t>
      </w:r>
    </w:p>
    <w:p>
      <w:r>
        <w:t>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d).![endif]&gt;![if&gt;</w:t>
      </w:r>
    </w:p>
    <w:p>
      <w:r>
        <w:rPr>
          <w:b/>
        </w:rPr>
        <w:t>E. 4.5</w:t>
      </w:r>
    </w:p>
    <w:p>
      <w:r>
        <w:t>L’art. 3 al. 3 LCI prévoit notamment que les demandes d’autorisation sont soumises, à titre consultatif, au préavis des communes, des départements et des organismes intéressés. ![endif]&gt;![if&gt;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4.6</w:t>
      </w:r>
    </w:p>
    <w:p>
      <w:r>
        <w:t>La loi sur la protection des monuments, de la nature et des sites du 4 juin 1976 (LPMNS - L 4 05) a notamment pour but d'assurer la sauvegarde de la nature, en ménageant l'espace vital nécessaire à la flore et à la faune et en maintenant les milieux naturels (art. 1 let. c).![endif]&gt;![if&gt; À teneur de l'art. 36 al. 1 LPMNS, le Conseil d'État édicte les dispositions nécessaires à la protection, la conservation et l'aménagement des sites visés à l'art. 35 LPMNS.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L’art. 16 RCVA prévoit que le département édicte des directives en matière de sauvegarde des végétaux maintenus, de leur mise en valeur et de l’exécution correcte des mesures compensatoires. C’est dans ce cadre qu’a été élaborée par la direction générale de la nature et du paysage (DGNP) la Directive concernant les mesures à prendre lors de travaux à proximité des arbres (version 1.0, août 2008), laquelle a pour objectif de définir la notion d'espace vital d'un arbre et de préciser les mesures qui doivent être prises lors de travaux pour respecter la végétation conservée (art. 1). Le domaine vital de l'arbre correspond à la zone d’extension des racines vitales de l’arbre. Il correspond à l’espace aérien et souterrain à protéger défini par la projection au sol de la couronne plus 1 mètre (cf. figure 1a). Pour les arbres fastigiés cet espace protégé est défini par la projection au sol d’un tiers de la hauteur de l’arbre plus 1 m selon le même principe. Par principe, aucune construction ne sera tolérée dans le domaine vital de l'arbre (art. 2). Une dérogation à ce principe n’est accordée qu’en cas d’impératif majeur, en fonction de l’arbre et du type de construction projetée, et elle est toujours accompagnée de mesures propres à limiter l’impact de l’intervention (dalle suspendue par exemple ; art. 2).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(ch. 2).</w:t>
      </w:r>
    </w:p>
    <w:p>
      <w:r>
        <w:rPr>
          <w:b/>
        </w:rPr>
        <w:t>E. 4.7</w:t>
      </w:r>
    </w:p>
    <w:p>
      <w:r>
        <w:t>En l'espèce, le litige porte uniquement sur la question de savoir si l'autorité intimée a fait un usage correct ou non de son pouvoir d'appréciation en délivrant l'autorisation querellée sur la base notamment du préavis favorable de l'OCAN. Le fait que les recourantes se prévalent de l'existence d'un accès au chantier et à la future parcelle par le chemin K______ ne saurait étendre l'objet du litige, dans la mesure où les juridictions administratives n'ont pas compétence pour apprécier l'opportunité de la décision attaquée, sauf exception prévue par la loi non réalisée en l'occurrence.![endif]&gt;![if&gt; Il s'agit donc uniquement de déterminer si les mesures prises par l'intimée et celles ordonnées par l'OCAN sont aptes à protéger l'arbre litigieux. Si l'OCAN, après avoir analysé à plusieurs reprises le projet, a non seulement exigé la prise de toutes les précautions nécessaires afin de protéger les arbres maintenus à proximité des travaux et exigé qu'un arboriste-conseil soit mandaté à l'ouverture du chantier pour le suivi des travaux à proximité des arbres conservés et la mise en place des mesures prophylactiques nécessaires à leur préservation valable, il a également mentionné que le PAP déposé par l'intimée devrait être respecté. Ce dernier prévoit l'installation d'une protection racinaire avec dalle suspendue sur le chemin d'accès à la future construction à l'endroit où se trouve le domaine vital du bouleau et aucun élément du dossier ne laisse penser que cette mesure ne serait pas apte à le protéger. Les recourantes ignorent ces mesures de protection dans leur argumentation et se bornent à soutenir qu'il existerait des solutions plus à même de protéger leur arbre, qu'elles souhaiteraient unilatéralement faire exécuter, sans toutefois prétendre que les mesures imposées par l'OCAN et celles prises par l'intimée ne seraient pas aptes à préserver le domaine vital du bouleau. Si elles allèguent certes que l'arboriste-conseil auquel elles ont fait appel aurait relevé que le système racinaire serait endommagé à chaque passage d'engin, que le passage répété de véhicules de chantier endommagerait les racines de l'arbre litigieux et que les branches basses du bouleau ne pourraient pas être attachées, elles ne démontrent non seulement pas ces affirmations, malgré les nombreuses pièces qu'elles ont produites, mais ne prétendent pas non plus que l'arboriste-conseil, en sa qualité de spécialiste, aurait estimé que les mesures imposées par l'OCAN seraient insuffisantes pour protéger le bouleau. Enfin, et contrairement à ce qu'elles prétendent, le fait que le PAP définitif ne comporte aucune modification sur le tracé du chemin d'accès n'est absolument pas déterminant, vu les mesures de protections prévues par ce plan. Au vu de ce qui précède, l’autorité intimée n'a pas abusé de son pouvoir d’appréciation en se fondant notamment sur le préavis favorable de l'OCAN pour délivrer l’autorisation de construire querellée. Le grief sera ainsi écarté et le recours, mal fondé, sera rejeté.</w:t>
      </w:r>
    </w:p>
    <w:p>
      <w:r>
        <w:rPr>
          <w:b/>
        </w:rPr>
        <w:t>E. 5</w:t>
      </w:r>
    </w:p>
    <w:p>
      <w:r>
        <w:t>Vu l'issue du litige, un émolument de CHF 1'500.- sera mis à la charge solidaire des recourantes (art. 87 al. 1 LPA). Une indemnité de procédure de CHF 1'500.- sera allouée à H______, qui y a conclu, à la charge solidaire des recourantes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