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A/396/2009 vom 23. April 2009</w:t>
      </w:r>
    </w:p>
    <w:p>
      <w:r>
        <w:t>GE Cour de justice, 2009-04-23, FR</w:t>
      </w:r>
    </w:p>
    <w:p>
      <w:r>
        <w:rPr>
          <w:b/>
        </w:rPr>
        <w:t xml:space="preserve">Quelle: </w:t>
      </w:r>
      <w:r>
        <w:t>https://mcp.opencaselaw.ch/entscheid/ge_gerichte_A_396_2009</w:t>
      </w:r>
    </w:p>
    <w:p>
      <w:r>
        <w:t>FR: GE_GERICHTE A/396/2009 du 23 avril 2009</w:t>
      </w:r>
    </w:p>
    <w:p>
      <w:r>
        <w:t>IT: GE_GERICHTE A/396/2009 del 23 aprile 2009</w:t>
      </w:r>
    </w:p>
    <w:p>
      <w:pPr>
        <w:pStyle w:val="Heading2"/>
      </w:pPr>
      <w:r>
        <w:t>Regeste</w:t>
      </w:r>
    </w:p>
    <w:p>
      <w:r>
        <w:t>Cession de créance. Action en revendication (saisie). | Plainte admise suite à une erreur reconnue de l'Office lorsqu'il a imparti au tiers revendiquant d'agir contre le mauvais créancier.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Invite l'Office des poursuites à rendre une nouvelle décision, fixant un délai à S______ Sàrl pour ouvrir action en revendication (art. 107 LP) du véhicule de marque Mitsubishi de type P______, châssis n° JMB ONK 940 xxx xxx xxx, contre M. G______.</w:t>
      </w:r>
    </w:p>
    <w:p>
      <w:r>
        <w:rPr>
          <w:b/>
        </w:rPr>
        <w:t>E. 3</w:t>
      </w:r>
    </w:p>
    <w:p>
      <w:r>
        <w:t>Transmet la présente décision au Tribunal de première instance, cause C/12836/2008 2 ERP 00.</w:t>
      </w:r>
    </w:p>
    <w:p>
      <w:r>
        <w:rPr>
          <w:b/>
        </w:rPr>
        <w:t>E. 4</w:t>
      </w:r>
    </w:p>
    <w:p>
      <w:r>
        <w:t>Déboute les parties de toutes autres conclusions. Siégeant : M. Philippe GUNTZ, président ;  Mme Florence CASTELLA juge assesseure et M. Yves de COULON, juge assesseur suppléant.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