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A/3961/2023 vom 20. August 2024</w:t>
      </w:r>
    </w:p>
    <w:p>
      <w:r>
        <w:t>GE Cour de justice, 2024-08-20, FR</w:t>
      </w:r>
    </w:p>
    <w:p>
      <w:r>
        <w:rPr>
          <w:b/>
        </w:rPr>
        <w:t xml:space="preserve">Quelle: </w:t>
      </w:r>
      <w:r>
        <w:t>https://mcp.opencaselaw.ch/entscheid/ge_gerichte_A_3961_2023</w:t>
      </w:r>
    </w:p>
    <w:p>
      <w:r>
        <w:t>FR: GE_GERICHTE A/3961/2023 du 20 août 2024</w:t>
      </w:r>
    </w:p>
    <w:p>
      <w:r>
        <w:t>IT: GE_GERICHTE A/3961/2023 del 20 agosto 2024</w:t>
      </w:r>
    </w:p>
    <w:p>
      <w:pPr>
        <w:pStyle w:val="Heading2"/>
      </w:pPr>
      <w:r>
        <w:t>Erwägungen</w:t>
      </w:r>
    </w:p>
    <w:p>
      <w:r>
        <w:rPr>
          <w:b/>
        </w:rPr>
        <w:t>E. 1</w:t>
      </w:r>
    </w:p>
    <w:p>
      <w:r>
        <w:t>La compétence de la chambre administrative est acquise, dès lors que la procédure vise la révision d’un arrêt de la chambre de céans. Sous cet angle, la demande de révision est recevable (art. 81 al. 1 in fine LPA).</w:t>
      </w:r>
    </w:p>
    <w:p>
      <w:r>
        <w:rPr>
          <w:b/>
        </w:rPr>
        <w:t>E. 1.1</w:t>
      </w:r>
    </w:p>
    <w:p>
      <w:r>
        <w:t>En vertu de l’art. 80 LPA, une demande de révision suppose que l'affaire soit réglée par une décision définitive.</w:t>
      </w:r>
    </w:p>
    <w:p>
      <w:r>
        <w:rPr>
          <w:b/>
        </w:rPr>
        <w:t>E. 1.2</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1.3</w:t>
      </w:r>
    </w:p>
    <w:p>
      <w:r>
        <w:t>En l'espèce, la demande de révision est déposée contre un arrêt du 3 novembre 2020, définitif. Elle a été déposée dans le délai de trois mois dès la découverte d’un motif de révision, en l’espèce le témoignage devant la police de l’un des MPQ le 28 août 2023 et dans le respect du délai de dix ans. Elle remplit les conditions des art. 64 et 65 LPA et est en conséquence recevable. Autre est la question de savoir si elle est fondée, notamment s’il existe un motif de révision au sens de l’art. 80 LPA.</w:t>
      </w:r>
    </w:p>
    <w:p>
      <w:r>
        <w:rPr>
          <w:b/>
        </w:rPr>
        <w:t>E. 2.1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2.2</w:t>
      </w:r>
    </w:p>
    <w:p>
      <w:r>
        <w:t>Une révision est également possible lorsqu’un crime ou un délit, établi par une procédure pénale ou d’une autre manière, a influencé la décision (art. 80 let. a LPA), ainsi que pour trois autres motifs (let. c à e), non pertinents en l’espèce. Les motifs de révision prévus par l’art. 80 LPA sont exhaustifs.</w:t>
      </w:r>
    </w:p>
    <w:p>
      <w:r>
        <w:rPr>
          <w:b/>
        </w:rPr>
        <w:t>E. 2.3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 ATA/362/2018 précité consid. 1d et les références citées).</w:t>
      </w:r>
    </w:p>
    <w:p>
      <w:r>
        <w:rPr>
          <w:b/>
        </w:rPr>
        <w:t>E. 2.4</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ATA/362/2018 précité consid. 1e ; ATA/294/2015 précité consid. 3e ; ATA/105/2014 du 18 février 2014 consid. 9).</w:t>
      </w:r>
    </w:p>
    <w:p>
      <w:r>
        <w:rPr>
          <w:b/>
        </w:rPr>
        <w:t>E. 3</w:t>
      </w:r>
    </w:p>
    <w:p>
      <w:r>
        <w:t>À teneur de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doivent être établis et signés par une personne inscrite au tableau des MPQ dans la catégorie correspondant à la nature de l’ouvrage, au sens de la loi sur l'exercice des professions d'architecte et d'ingénieur du 17 décembre 1982 [LPAI - L 5 40] ; art. 2 al. 3 LCI). La demande définitive doit être adressée au département sur formule officielle, en dix exemplaires (art. 9 al. 1 1ère phrase RCI). Il y a lieu de joindre notamment les plans et documents suivants : b) extrait du plan cadastral conforme aux al. 2 et 4 de l’art. 7 de l'ordonnance fédérale sur la mensuration officielle du 18 novembre 1992 (OMO - RS 211.432.2),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 ; g) plan des canalisations d’évacuation des eaux usées et pluviales existantes et à construire, jusqu’aux points de déversement aux collecteurs en indiquant les diamètres et niveaux. À défaut d’égout, le mode d’évacuation des eaux pluviales et d’épuration des eaux usées avec le plan de détail de l’installation d’épuration en indiquant son type, son volume ainsi que le nombre d’utilisateurs (10 ex.) ; h) plan détaillé des canalisations d’eaux usées et pluviales intérieures des constructions (10 ex.) ; i) copie certifiée conforme de l’acte constitutif de la servitude de passage, maintien et entretien des canalisations sur fonds d’autrui ou attestation d’un notaire certifiant qu’il a mandat irrévocable des parties d’instrumenter un tel acte (10 ex.) ; (art. 9 al. 2 RCI).</w:t>
      </w:r>
    </w:p>
    <w:p>
      <w:r>
        <w:rPr>
          <w:b/>
        </w:rPr>
        <w:t>E. 4</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résulte de cette dernière disposition que le respect du droit public est l'un des devoirs incombant à l'architecte (Blaise KNAPP, La profession d'architecte en droit public, in Le droit de l'architecte, 3 ème éd., 1986, p. 487 ss n. 510).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w:t>
      </w:r>
    </w:p>
    <w:p>
      <w:r>
        <w:rPr>
          <w:b/>
        </w:rPr>
        <w:t>E. 5</w:t>
      </w:r>
    </w:p>
    <w:p>
      <w:r>
        <w:t>En l’espèce, dans le cadre de la procédure relative à la DD 1______, le DT, et plus spécialement l’OCEau, se sont déterminés sur la base des plans produits par les MPQ. La chambre administrative avait rejeté le recours contre cette autorisation. Depuis l’arrêt de la chambre administrative du 3 novembre 2020, une procédure pénale a été ouverte en lien avec des pièces versées à la première procédure. Les déclarations de l’architecte devant la police évoquent l’éventuelle production de plans « erronés ». On ignore, en l’état de la procédure, le résultat de la perquisition effectuée par le MP dans le bureau d’architectes. Outre la commission d’une éventuelle infraction pénale, ceci pourrait impliquer que les autorités administratives se seraient prononcées sur des plans erronés, ce que certain(s) MPQ aurai(en)t peut-être su, voire tu ou nié au moment où l’OCEau a préavisé, où le département a autorisé les constructions, puis où les juridictions administratives se sont prononcées en fonction notamment du préavis de l’office précité, spécialisé.</w:t>
      </w:r>
    </w:p>
    <w:p>
      <w:r>
        <w:rPr>
          <w:b/>
        </w:rPr>
        <w:t>E. 5.1</w:t>
      </w:r>
    </w:p>
    <w:p>
      <w:r>
        <w:t>Il n’est pas nécessaire de déterminer si le caractère par hypothèse faux des plans peut constituer un fait nouveau « ancien » au sens de l’art. 80 let. b LPA dès lors qu’en tous les cas il ne répond pas à la condition d’être « important ». Ce fait n’est pas de nature à modifier l’état de fait à la base de l’arrêt entrepris voire à conduire à un jugement différent. La chambre avait connaissance des erreurs dans les plans et avait considéré que cela était sans influence sur la validité de l’autorisation initialement querellée. L’arrêt indiquait « qu’au vu de la difficulté d’établir les faits, il ne peut être reproché au recourant d’avoir transmis des plans inexacts ». L’inexactitude des plans était ainsi déjà relevée. Quand bien même, contrairement à l’arrêt, le caractère erroné peut éventuellement faire l’objet de reproches à l’encontre des MPQ, il n’est pas déterminant en l’espèce, sous l’angle du droit des constructions. Après avoir pris connaissance de la procédure pénale, le département a relevé qu’un plan de canalisations n’était pas visé ne varietur par ses soins lors de la délivrance d’une autorisation de construire, ce qui corroborait la portée relative qu’accordait la jurisprudence à cet aspect. L’absence d’influence de ce plan sur l’autorisation de construire ressortait également de la jurisprudence qui précisait que la LAT exigeait que l’équipement définitif soit assuré et devait être réalisé au plus tard avant la fin des travaux. Enfin, l’autorisation complémentaire démontrait qu’il n’était pas impossible d’équiper la parcelle en canalisations, ce qui manifestement suffisait au sens de la jurisprudence pour considérer que les exigences des art. 19 et 22 LAT étaient satisfaites. L’argumentation du département doit être suivie. Dans un cas où les recourants s'opposaient à la constitution d'une servitude de canalisation en raison notamment du tracé prévu qu'ils estimaient irrationnel, le Tribunal fédéral a rappelé que l'exigence de garantie juridique pour les conduites ne ressortait pas du texte de l'art. 19 al. 1 LAT, lequel prévoyait que le terrain était réputé équipé lorsqu'il était desservi par des conduites auxquelles il était possible de se raccorder sans frais disproportionnés pour l'alimentation en eau et en énergie, ainsi que pour l'évacuation des eaux usées. Il a de même rappelé qu’en matière de conduites, le raccordement n'est pas exigé de façon absolue. Le principe de la proportionnalité permet une certaine flexibilité, notamment lorsqu'un équipement en énergie ou en eau n'est pas obligatoirement nécessaire pour des raisons de police ou environnementales (arrêt du Tribunal fédéral 1C_471/2020 du 19 mai 2021 consid. 3.2 et les références citées). De même, dans un récent arrêt, le Tribunal fédéral a rappelé que le droit genevois ne contient pas de réglementation analogue à l'art. 104 al. 3 de la loi cantonale vaudoise sur l'aménagement du territoire et les constructions du 4 décembre 1985 (LATC, RS/VD 700.11), selon lequel l'autorité n'accorde le permis de construire que lorsque le bien-fonds est équipé pour la construction ou qu'il le sera à l'achèvement de la construction et que les équipements empruntant la propriété d'autrui sont au bénéfice d'un titre juridique (arrêt du Tribunal fédéral 1C_471/2020 du 19 mai 2021 consid. 3.1.4). En outre, quand bien même une nouvelle canalisation d'évacuation des eaux devrait être construite et une nouvelle servitude créée, les recourants ne rendaient pas vraisemblable que l'inscription de cette dernière serait impossible. De plus, comme l'avait constaté l'instance précédente, l'ouverture du chantier était subordonnée au règlement des éléments de droit privé. Par conséquent, la Cour de justice pouvait considérer que la parcelle était équipée au sens des art. 19 et 22 LAT et du droit cantonal pertinent (arrêt du Tribunal fédéral 1C_315/2021 du 22 mars 2022 consid. 3.3). Le caractère imprécis voire erroné des plans avait été relevé par les voisins dans le cadre de la procédure d’autorisation principale. Déterminer les éventuelles conséquences pénales voire civiles de la production desdits plans ne relève pas de la compétence de la chambre de céans. Le département avait conditionné l’autorisation délivrée le 7 décembre 2018 au respect de diverses conditions figurant dans les préavis recueillis, dont celui de l’OCEau du 13 août 2018 (point 5) et avait réservé les droits des tiers (point 2). Ce dernier office avait notamment conditionné l’ouverture du chantier au règlement des éléments relevant du droit privé. Il avait exigé que les canalisations d’évacuation des eaux usées et pluviales soient exécutées en systèmes séparatifs et raccordées à des collecteurs dont il précisait les spécificités et le fait que les canalisations ralliaient les collecteurs par les réseaux privés. Il avait de même conditionné le branchement desdites canalisations à la vérification de l’état, au bon fonctionnement et à la capacité hydraulique des équipements privés concernés. Comme le relevait l’arrêt de la chambre de céans, le préavis de l’OCEau tenait en quatre pages et posait quinze conditions. Ces conditions garantissaient suffisamment que le chantier ne soit pas ouvert sans que les questions de canalisations ne soient réglées. Dans ces conditions, les inexactitudes contenues dans les plans pour des raisons qu’il n’appartient pas à la chambre de céans de déterminer, sont sans incidence sur le préavis de l’OCEau, compte tenu des cautèles qui étaient posées. Les conditions d’un cas de révision au sens de l’art. 80 let. b LPA ne sont pas remplies, les faits nouveaux allégués n’étant, comme précédemment relevés, pas de nature à conduire à un arrêt différent.</w:t>
      </w:r>
    </w:p>
    <w:p>
      <w:r>
        <w:rPr>
          <w:b/>
        </w:rPr>
        <w:t>E. 5.2</w:t>
      </w:r>
    </w:p>
    <w:p>
      <w:r>
        <w:t>Les recourants sollicitent la révision de l’arrêt en application de l’art. 80 let. a LPA. La disposition précitée exige la réalisation d’un crime ou d’un délit établi par une procédure pénale ou d’une autre manière et qu’elle ait influencé la décision. Force est de constater que tel n’est pas le cas en l’absence notamment du lien causal. Cette condition, nécessaire, n’étant pas réalisée, cette conclusion n’est pas fondée. Les conditions d’un cas de révision au sens de l’art. 80 let. a LPA ne sont pas remplies.</w:t>
      </w:r>
    </w:p>
    <w:p>
      <w:r>
        <w:rPr>
          <w:b/>
        </w:rPr>
        <w:t>E. 6</w:t>
      </w:r>
    </w:p>
    <w:p>
      <w:r>
        <w:t>Les recourants sollicitent la suspension de la présente procédure dans l’attente de l’issue de la procédure pénale.</w:t>
      </w:r>
    </w:p>
    <w:p>
      <w:r>
        <w:rPr>
          <w:b/>
        </w:rPr>
        <w:t>E. 6.1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ATA/444/2023 du 26 avril 2023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lorsque ledit litige peut être tranché sans délai sur la base d’autres motifs ( ATA/812/2021 du 10 août 2021 consid. 2a ; ATA/1493/2019 précité consid. 3b).</w:t>
      </w:r>
    </w:p>
    <w:p>
      <w:r>
        <w:rPr>
          <w:b/>
        </w:rPr>
        <w:t>E. 6.2</w:t>
      </w:r>
    </w:p>
    <w:p>
      <w:r>
        <w:t>En l’espèce, d’une part, comme mentionné dans les considérants qui précèdent, le département a confirmé, après avoir pris connaissance des pièces d’ores et déjà versées au dossier de la procédure pénale, que son issue était sans incidence sur le préavis de l’OCEau, et par voie de conséquence sur l’autorisation de construire. Dans ces conditions, il ne se justifie pas de suspendre la présente procédure en révision dans l’attente de l’issue de la procédure pénale. La DD 1______ conditionnait l’ouverture du chantier à plusieurs conditions, dont certaines en lien avec la question des canalisations. Par ailleurs, les droits des tiers restent réservés conformément à l’autorisation précitée. Les conditions d’une suspension de la présente procédure comme dépendante du pénal ne sont pas remplies.</w:t>
      </w:r>
    </w:p>
    <w:p>
      <w:r>
        <w:rPr>
          <w:b/>
        </w:rPr>
        <w:t>E. 7</w:t>
      </w:r>
    </w:p>
    <w:p>
      <w:r>
        <w:t>Les recourants sollicitent la suspension de la présente procédure dans l’attente de l’issue de la procédure pendante devant le TAPI sous les références A/2932/2022. Cette conclusion sera rejetée. Certes, les recourants ont pris, dans la procédure susmentionnée, des conclusions en constatation de la caducité de la DD 1______ qui, si elles étaient suivies rendraient la présente demande en révision sans objet. Il appartiendra au TAPI de se prononcer sur la recevabilité et le bien‑fondé desdites conclusions, étant précisé que par arrêt de ce jour dans la cause A/2932/2022, la chambre de céans a admis le recours formé par les propriétaires contre la décision de suspension du TAPI comme dépendant du pénal. Les conditions d’une suspension de la présente procédure comme dépendante de la cause A/2932/2022 ne sont pas remplies. Mal fondée, la demande de révision sera rejetée.</w:t>
      </w:r>
    </w:p>
    <w:p>
      <w:r>
        <w:rPr>
          <w:b/>
        </w:rPr>
        <w:t>E. 8</w:t>
      </w:r>
    </w:p>
    <w:p>
      <w:r>
        <w:t>Vu l’issue du litige, un émolument de CHF 1'000.- sera mis à la charge, solidaire, des recourants (art. 87 al. 1 LPA). Au vu des circonstances particulières du présent cas, il ne sera pas alloué d’indemnité à M______ SA, ni à la commune qui s’en est rapportée à justice et a limité ses écritures (art. 87 al. 2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