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A/395/2007 vom 30. November 2006</w:t>
      </w:r>
    </w:p>
    <w:p>
      <w:r>
        <w:t>GE Cour de justice, 2006-11-30, FR</w:t>
      </w:r>
    </w:p>
    <w:p>
      <w:r>
        <w:rPr>
          <w:b/>
        </w:rPr>
        <w:t xml:space="preserve">Quelle: </w:t>
      </w:r>
      <w:r>
        <w:t>https://mcp.opencaselaw.ch/entscheid/ge_gerichte_A_395_2007</w:t>
      </w:r>
    </w:p>
    <w:p>
      <w:r>
        <w:t>FR: GE_GERICHTE A/395/2007 du 30 novembre 2006</w:t>
      </w:r>
    </w:p>
    <w:p>
      <w:r>
        <w:t>IT: GE_GERICHTE A/395/2007 del 30 novembre 2006</w:t>
      </w:r>
    </w:p>
    <w:p>
      <w:pPr>
        <w:pStyle w:val="Heading2"/>
      </w:pPr>
      <w:r>
        <w:t>Erwägungen</w:t>
      </w:r>
    </w:p>
    <w:p>
      <w:r>
        <w:rPr>
          <w:b/>
        </w:rPr>
        <w:t>E. 6</w:t>
      </w:r>
    </w:p>
    <w:p>
      <w:r>
        <w:t>Ces documents ont été transmis aux parties en date du 3 mars 2008. La juridiction leur a indiqué qu'à défaut d'observations d'ici au 10 mars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 janvier 1997, d’autre part le 20 janvier 2007, date à laquelle le jugement de divorce est devenu exécutoire. Selon les documents produits, la prestation acquise par le demandeur est de 9'159 fr. 05 (7'348 fr. 10 + 244 fr. 35 + 1'566 fr. 60) dont il convient de déduire les avoirs acquis à la date du mariage, de 1'566 fr. 60, soit un montant total à partager de 7'592 fr. 45 (9'159 fr. 05 - 1'566 fr. 60) , les intérêts ayant déjà été calculés par les institutions de prévoyance défenderesses. Ainsi le demandeur doit à son ex-épouse le montant de 3'796 fr. 20 ( 7'592 fr. 45 : 2)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