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A/3958/2020 vom 14. Dezember 2021</w:t>
      </w:r>
    </w:p>
    <w:p>
      <w:r>
        <w:t>GE Cour de justice, 2021-12-14, FR</w:t>
      </w:r>
    </w:p>
    <w:p>
      <w:r>
        <w:rPr>
          <w:b/>
        </w:rPr>
        <w:t xml:space="preserve">Quelle: </w:t>
      </w:r>
      <w:r>
        <w:t>https://mcp.opencaselaw.ch/entscheid/ge_gerichte_A_3958_2020</w:t>
      </w:r>
    </w:p>
    <w:p>
      <w:r>
        <w:t>FR: GE_GERICHTE A/3958/2020 du 14 décembre 2021</w:t>
      </w:r>
    </w:p>
    <w:p>
      <w:r>
        <w:t>IT: GE_GERICHTE A/3958/2020 del 14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 er janvier 2003, est applicable au cas d'espèce. Le délai de recours est de trente jours (art. 60 al. 1 LPGA). Interjeté dans la forme et le délai prévus par la loi, compte tenu de la suspension des délais du 18 décembre au 2 janvier inclusivement, le recours est recevable (art. 38 al. 4 et 60 ss LPGA ; art. 89B de la loi sur la procédure administrative du 12 septembre 1985 - [LPA - E 5 10]).</w:t>
      </w:r>
    </w:p>
    <w:p>
      <w:r>
        <w:rPr>
          <w:b/>
        </w:rPr>
        <w:t>E. 3</w:t>
      </w:r>
    </w:p>
    <w:p>
      <w:r>
        <w:t>Le litige porte sur la question de savoir si c’est à bon droit que l’OAI a versé à l’assurée une allocation pour impotent avec effet au 1 er décembre 2017 seulement, alors que le droit à cette allocation est reconnu depuis le 1 er juin 2014.</w:t>
      </w:r>
    </w:p>
    <w:p>
      <w:r>
        <w:rPr>
          <w:b/>
        </w:rPr>
        <w:t>E. 4.1</w:t>
      </w:r>
    </w:p>
    <w:p>
      <w:r>
        <w:t>Aux termes de l'art. 48 al. 1 LAI, dans sa teneur en vigueur depuis le 1 er janvier 2012, si l'assuré ayant droit à une allocation pour impotent présente sa demande plus de douze mois après la naissance du droit, la prestation, en dérogation à l'art. 24 al. l LPGA, n’est allouée que pour les douze mois précédant le dépôt de la demande. Selon l’art. 48 al. 2 LAI, les prestations arriérées sont allouées pour une période plus longue si l'assuré ne pouvait pas connaître les faits ouvrant droit aux prestations et s’il a fait valoir son droit dans les douze mois dès le moment où il en a eu connaissance. Selon la jurisprudence, l'art. 48 al. 2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phr. 2 LAI, sont ceux qui n'étaient objectivement pas reconnaissables, mais non ceux dont l'assuré ne pouvait subjectivement pas saisir la portée (ATF 100 V 119 sv. consid. 2c ; RCC, 1984, p. 420 sv. consid. 1 ; Michel VALTERIO, Droit de l’assurance-vieillesse et survivants [AVS] et de l’assurance-invalidité [AI]. Commentaire thématique, 2011, n°3233 ss).</w:t>
      </w:r>
    </w:p>
    <w:p>
      <w:r>
        <w:rPr>
          <w:b/>
        </w:rPr>
        <w:t>E. 4.2</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 Cette jurisprudence est également applicable s'agissant de déterminer l'impotence sous l'angle de l'accompagnement durable pour faire face aux nécessités de la vie (arrêt du Tribunal fédéral 9C_782/2010 du 10 mars 2011 consid. 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4.3</w:t>
      </w:r>
    </w:p>
    <w:p>
      <w:r>
        <w:t>À teneur de l'art. 29 al. 1 LPGA, celui qui fait valoir un droit à des prestations doit s'annoncer à l'assureur compétent, dans la forme prescrite par l'assurance sociale concernée. Selon l'art. 65 al. 1 du règlement du 17 janvier 1961 sur l’assurance-invalidité du 17 janvier 1961 (RAI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(ATF 121 V 195 consid. 2 et les arrêts cités ; voir aussi arrêts du Tribunal fédéral 9C_532/2011 du 7 mai 2012 et 9C_92/2008 du 24 novembre 2008). L’art. 27 LPGA stipule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w:t>
      </w:r>
    </w:p>
    <w:p>
      <w:r>
        <w:rPr>
          <w:b/>
        </w:rPr>
        <w:t>E. 5.1</w:t>
      </w:r>
    </w:p>
    <w:p>
      <w:r>
        <w:t>L’assurée a, préalablement, sollicité la comparution personnelle des parties.</w:t>
      </w:r>
    </w:p>
    <w:p>
      <w:r>
        <w:rPr>
          <w:b/>
        </w:rPr>
        <w:t>E. 5.2</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w:t>
      </w:r>
    </w:p>
    <w:p>
      <w:r>
        <w:rPr>
          <w:b/>
        </w:rPr>
        <w:t>E. 5.3</w:t>
      </w:r>
    </w:p>
    <w:p>
      <w:r>
        <w:t>La chambre de céans considère en l’occurrence que le litige peut être tranché sans qu’il soit nécessaire de procéder à une instruction complémentaire, et en particulier d’entendre l’assurée.</w:t>
      </w:r>
    </w:p>
    <w:p>
      <w:r>
        <w:rPr>
          <w:b/>
        </w:rPr>
        <w:t>E. 6.1</w:t>
      </w:r>
    </w:p>
    <w:p>
      <w:r>
        <w:t>En l’espèce, il n’est pas contesté que l’assurée a droit à une allocation pour impotent de degré faible à compter du 1 er juin 2014. L’OAI n’a toutefois alloué cette allocation qu’à partir du 1 er décembre 2017, soit douze mois avant la demande que l’assurée a déposée le 19 décembre 2018, ce conformément à l’art. 48 al. 1 LAI.</w:t>
      </w:r>
    </w:p>
    <w:p>
      <w:r>
        <w:rPr>
          <w:b/>
        </w:rPr>
        <w:t>E. 6.2</w:t>
      </w:r>
    </w:p>
    <w:p>
      <w:r>
        <w:t>L’assurée considère toutefois que l’exception de l’art. 48 al. 2 LAI lui est applicable. Elle fait valoir que ce n’est qu’après avoir compris qu’une rente d’invalidité lui avait été accordée qu’elle avait « finalement pris conscience de son besoin d’assistance, pu l’identifier et agir en conséquence, en sollicitant une aide plus régulière ». Elle allègue avoir été dans le déni jusque-là s’agissant de son besoin d’aide, en raison même de ses troubles psychiques.</w:t>
      </w:r>
    </w:p>
    <w:p>
      <w:r>
        <w:rPr>
          <w:b/>
        </w:rPr>
        <w:t>E. 7.1</w:t>
      </w:r>
    </w:p>
    <w:p>
      <w:r>
        <w:t>Il s’agit de déterminer si l’assurée ignorait les faits ouvrant droit à des prestations d’invalidité, autrement dit de son atteinte à la santé. Le fait de ne pas savoir que les faits en question lui donnaient droit à d’éventuelles prestations ne suffit pas pour qu’elle puisse prétendre à une restitution de délai sur la base de l’art. 48 al. 2 LAI . Lorsque l’assuré connaît parfaitement son état et ses besoins d’aide donnant droit à une allocation pour impotent, les conditions de l’art. 48 al. 2 LAI ne sont pas remplies ( ATAS/413/2021 ). La chambre de céans a déjà eu l’occasion de confirmer, dans un arrêt rendu le 27 février 2019 ( ATAS/165/2019 ), que même en présence d’une atteinte psychique, « les conditions permettant l'allocation de prestations arriérées pour des périodes plus longues de l'art. 48 al. 2 LAI ne sont pas remplies, dès lors que la recourante n'ignorait pas qu'elle avait besoin, en raison de son atteinte à la santé psychique, d'un accompagnement durable dans une mesure propre à lui ouvrir le droit à des prestations, mais ne savait pas que cela lui donnait droit à une allocation d'impotent de l'assurance-invalidité, à teneur de son recours ».</w:t>
      </w:r>
    </w:p>
    <w:p>
      <w:r>
        <w:rPr>
          <w:b/>
        </w:rPr>
        <w:t>E. 7.2</w:t>
      </w:r>
    </w:p>
    <w:p>
      <w:r>
        <w:t>En l'occurrence, on ne saurait raisonnablement admettre que l'assurée n'était pas consciente du fait qu'elle avait besoin d'une assistance pour effectuer les tâches quotidiennes. Le Dr B______ a à cet égard indiqué le 21 septembre 2019, qu'"au fur et à mesure du suivi, elle s’ouvre progressivement et exprime ses difficultés à effectuer les activités quotidiennes, à s’occuper de son fils ». Elle est par ailleurs venue trois fois depuis 2014 demander à Pro Infirmis du soutien et un accompagnement administratif, soit principalement une aide pour trier, ranger, organiser les papiers administratifs, ce qui a été fait en partie » (courrier Pro Infirmis du 18 mars 2019).</w:t>
      </w:r>
    </w:p>
    <w:p>
      <w:r>
        <w:rPr>
          <w:b/>
        </w:rPr>
        <w:t>E. 7.3</w:t>
      </w:r>
    </w:p>
    <w:p>
      <w:r>
        <w:t>Il apparait toutefois qu’elle se méfie d’une façon générale de l’aide que pourraient lui apporter des tiers. Le Dr B______ a en effet confirmé le 21 septembre 2019 que sa patiente n'acceptait que des aides ponctuelles, se sentait vite « intrusée » dans sa vie privée et repoussait les personnes tierces. Le service d’ergothérapie ambulatoire de santé mentale, qui la suit depuis mai 2013, a souligné que de manière générale, elle avait beaucoup de difficulté à demander de l’aide et à établir des liens de confiance lui permettant d’accepter des personnes à son domicile.</w:t>
      </w:r>
    </w:p>
    <w:p>
      <w:r>
        <w:rPr>
          <w:b/>
        </w:rPr>
        <w:t>E. 7.4</w:t>
      </w:r>
    </w:p>
    <w:p>
      <w:r>
        <w:t>Cette difficulté à accepter de l'aide vient également de ce que l’assurée ne veut pas que ça se sache. L’expert a à cet égard relevé que « l’assurée est très angoissée (persécutée) à l’idée qu’une personne apprenne son histoire familiale, ses troubles psychiques, ses hospitalisations. Cette persécution est la raison principale pour laquelle elle n’a pas voulu mettre le nom des médecins psychiatres, médecins traitants, institutions psychiatriques où elle a été hospitalisée, sur le document de l’AI. Lors de la deuxième consultation, elle a tout d’abord refusé de signer l’autorisation pour que je demande des informations auprès de l’établissement psychiatrique où elle a été hospitalisée. En la rassurant, j’ai pu obtenir qu’elle accepte de signer le document ». Cette difficulté a aussi été mise en évidence par les médecins du CTB selon lesquels « la patiente relate un bon lien avec ses parents, mais évite de les appeler, car elle ne va pas bien et elle ne veut pas leur parler de son état actuel. Au début du suivi, la patiente se montre très réticente à parler, ce qu’elle considère comme un signe de faiblesse » (lettre de sortie du CTB du 20 mars 2013). Le service d’ergothérapie a confirmé qu’« au niveau social, elle ne voit pratiquement personne, car elle ne travaille plus depuis plusieurs années et ne s’autorise pas à se montrer avec ses difficultés et encore moins comme bénéficiaire d’une rente AI ».</w:t>
      </w:r>
    </w:p>
    <w:p>
      <w:r>
        <w:rPr>
          <w:b/>
        </w:rPr>
        <w:t>E. 7.5</w:t>
      </w:r>
    </w:p>
    <w:p>
      <w:r>
        <w:t>Il y a enfin lieu de constater que selon l'enquête du 14 septembre 2020, l’assurée « est complètement submergée par les démarches administratives. Elle procrastine, accomplit certaines démarches, mais ne les termine pas, prépare des lettres, mais ne les envoie pas, elle cumule les retards de paiements, dettes et poursuites », c'est précisément en raison des troubles dont elle souffre qu’elle a agi aussi tardivement pour déposer sa demande d'allocation pour impotent. Du reste, le service d’ergothérapie a attesté dans son courrier du 28 septembre 2020, que « lorsqu’elle va moins bien, elle a tendance à se replier sur elle-même et à s’isoler, ce qui a pour conséquence l’annulation de rendez-vous, de ne plus donner de nouvelles et de rompre le rythme du traitement. ( ) Ainsi, de nombreux travaux seraient actuellement urgents dans son appartement, mais elle ne peut se résoudre à faire le nécessaire auprès de la régie, puis des artisans ». Dans son rapport d'expertise du 5 octobre 2015, le Dr C______ a décrit l'état dans lequel se trouvait l'assurée en disant d'elle qu'elle « est happée par les idées qui tournent ». Il explique ainsi que « quand elle est angoissée, elle perd le fil de ses idées. Des fois, elle veut faire quelque chose et elle se retrouve à faire autre chose. Elle ne sait pas comment, car elle a été happée par ses idées ». Le Dr B______ a indiqué le 21 septembre 2019 lui avoir proposé de demander une curatelle volontaire, ce qu’elle a refusé « pour le moment ». Il s'avère que plus d'une année après en avoir parlé avec le médecin, elle n'a encore entrepris aucune démarche pour mettre en place une telle mesure (cf. courrier du service d’ergothérapie du 28 septembre 2020).</w:t>
      </w:r>
    </w:p>
    <w:p>
      <w:r>
        <w:rPr>
          <w:b/>
        </w:rPr>
        <w:t>E. 7.6</w:t>
      </w:r>
    </w:p>
    <w:p>
      <w:r>
        <w:t>Il résulte de ce qui précède que même s’il est vraisemblable que l’assurée n’ignore pas qu’elle a besoin d’aide dans l’accomplissement des tâches administratives plus particulièrement, sa réticence à parler de ses troubles, sa méfiance envers les tiers et son impossibilité à accomplir la moindre des démarches relevée tant par le Dr C______ que par l’enquêtrice sont liées à son état de santé et démontrent, au degré de vraisemblance requis par la jurisprudence, que c'est précisément en raison des troubles dont elle souffre qu’elle a agi aussi tardivement pour déposer sa demande d'allocation pour impotent.</w:t>
      </w:r>
    </w:p>
    <w:p>
      <w:r>
        <w:rPr>
          <w:b/>
        </w:rPr>
        <w:t>E. 8</w:t>
      </w:r>
    </w:p>
    <w:p>
      <w:r>
        <w:t>Par surabondance de droit, on pourrait se demander si l'OAI ne devait pas entreprendre d'office des mesures d'instruction pour déterminer, au-delà de la demande de prestations du 27 octobre 2013, si l'assurée réunissait en plus les conditions d'octroi d'une allocation d'impotence. Il est vrai qu'un assuré invalide à 100%, soit un assuré totalement incapable de travailler et de réaliser un gain dans un circuit économique normal, n’est pas nécessairement impotent, l'inverse étant également vrai. Pour s’en convaincre, il suffit de comparer les définitions de l'invalidité et de l’impotence. L’invalidité est, au sens du droit des assurances sociales, une notion économique et non médicale ; ce sont les conséquences économiques objectives de l’incapacité fonctionnelle qu’il importe d’évaluer. L'impotence est l'état d’une personne qui, en raison d'une atteinte à sa santé, a durablement besoin d’une aide régulière et importante d’autrui pour tous les actes ordinaires de la vie et/ou un accompagnement durable pour faire face aux nécessités de la vie. Les conditions pour bénéficier de ces prestations ne sont ainsi pas les mêmes en matière de rente d’invalidité et d’allocation pour impotent et l'octroi de l’une des prestations n'implique pas forcément l'octroi de l'autre (voir ATAS/254/2017 du 3 avril 2017 consid. 8a). Il s'agit ainsi d'examiner si le dossier constitué antérieurement à la demande d’allocation pour impotent comportait des indications médicales permettant de constater que l'assurée avait besoin d’un accompagnement durable pour faire face aux nécessités de la vie. Il y a à cet égard lieu de constater que dans son rapport adressé le 21 mars 2014 à l’OAI, le Dr B______ a indiqué « patiente incapable à gérer son quotidien, se laisse aller dans les tâches administratives et les activités de la vie quotidienne ». Dans son rapport d'expertise du 5 octobre 2015, le Dr C______ a confirmé qu'« actuellement, l'assurée n’est pas en mesure de s’occuper de ses finances et des tâches administratives. C’est donc un thérapeute délégué par le Dr B______ qui se déplace à son domicile pour l’aider ». L'OAI relève, dans ses écritures du 25 mai 2021, que le psychiatre, l’Hospice général, ainsi que l’ergothérapeute qui suivait l’assurée, savaient qu’elle avait besoin d’un accompagnement, mais conclut du fait qu’à aucun moment une demande d’allocation pour impotent n’a été déposée, que ce besoin n’était pas suffisamment important pour justifier l’octroi d’une allocation pour impotent. Or, il n’est pas contesté que les conditions donnant droit à une telle allocation sont remplies depuis le 1 er juin 2014. Il ne s’agit ainsi pas d’examiner si l’on peut reprocher aux personnes proches de l’assurée de n’avoir pas agi d’une façon ou d’une autre, comme semble le faire l’OAI, mais de savoir si celui-ci pouvait, à la lecture du dossier, envisager que l'assurée présentât une certaine impotence rendant nécessaire un examen des conditions d'une allocation, ce même si aucune demande n'avait encore été déposée dans ce sens. On ne peut que conclure, au vu de ce qui précède, que tel était bien le cas. Il était du devoir de l'OAI, dans de telles circonstances, d'examiner spontanément la question de l'impotence.</w:t>
      </w:r>
    </w:p>
    <w:p>
      <w:r>
        <w:rPr>
          <w:b/>
        </w:rPr>
        <w:t>E. 9</w:t>
      </w:r>
    </w:p>
    <w:p>
      <w:r>
        <w:t>Aussi le recours est-il admis.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