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A/3956/2017 vom 27. August 2019</w:t>
      </w:r>
    </w:p>
    <w:p>
      <w:r>
        <w:t>GE Cour de justice, 2019-08-27, FR</w:t>
      </w:r>
    </w:p>
    <w:p>
      <w:r>
        <w:rPr>
          <w:b/>
        </w:rPr>
        <w:t xml:space="preserve">Quelle: </w:t>
      </w:r>
      <w:r>
        <w:t>https://mcp.opencaselaw.ch/entscheid/ge_gerichte_A_3956_2017</w:t>
      </w:r>
    </w:p>
    <w:p>
      <w:r>
        <w:t>FR: GE_GERICHTE A/3956/2017 du 27 août 2019</w:t>
      </w:r>
    </w:p>
    <w:p>
      <w:r>
        <w:t>IT: GE_GERICHTE A/3956/2017 del 27 agosto 2019</w:t>
      </w:r>
    </w:p>
    <w:p>
      <w:pPr>
        <w:pStyle w:val="Heading2"/>
      </w:pPr>
      <w:r>
        <w:t>Regeste</w:t>
      </w:r>
    </w:p>
    <w:p>
      <w:r>
        <w:t>PERMIS DE CONSTRUIRE;INDICE D'UTILISATION;ZONE DE VILLAS;PLAN DIRECTEUR;FORCE OBLIGATOIRE(SENS GÉNÉRAL) | Rejet du recours d’une commune contre l’octroi d’une autorisation de construire un bâtiment comportant neuf logements sous la forme d’habitat groupé à très haute performance énergétique avec des parkings couverts, en zone villas, proche d’un cours d’eau et d’un cordon boisé. Préavis favorables des instances spécialisées consultées, notamment sur les aspects soulevés par la commune ayant émis un préavis négatif. Pas d’excès ni d’abus du pouvoir d’appréciation du département in casu. | LCI.59.al4.leta; LaLAT.10.al8</w:t>
      </w:r>
    </w:p>
    <w:p>
      <w:pPr>
        <w:pStyle w:val="Heading2"/>
      </w:pPr>
      <w:r>
        <w:t>Erwägungen</w:t>
      </w:r>
    </w:p>
    <w:p>
      <w:r>
        <w:rPr>
          <w:b/>
        </w:rPr>
        <w:t>E. 2</w:t>
      </w:r>
    </w:p>
    <w:p>
      <w:r>
        <w:t>. Quant à la préoccupation communale relative à la protection des rives du Foron et du cordon boisé, il y a lieu de rappeler que la DGAN a posé, dans ses préavis, des obligations concernant le respect d'un plan paysager et le replantage d'arbres. De plus, comme l'a relevé le TAPI et suivant le préavis positif de la DGeau rendu à la suite de la réduction de l'emprise du projet sur la partie inconstructible - demandée par cette instance dans son premier préavis -, le département pouvait, en vertu de l'art. 15 al. 7 LEaux-Ge, autoriser l'agrandissement mesuré ou la reconstruction de constructions existantes dûment autorisées qui pouvaient être utilisées conformément à leur destination mais qui n'étaient pas conformes à l'affectation de la zone, en raison du principe de la garantie de la situation acquise. Dans ces circonstances, il y a lieu de constater que les préoccupations à l'origine du préavis négatif de la commune ont, en l'espèce, bien été prises en compte par le département, même s'il est arrivé à une autre conclusion que celle souhaitée par la commune. Le fait que le département ait accordé une prééminence aux préavis des instances spécialisées, en particulier ceux de la DGAN et de la DGT, par rapport à celui de la commune n'est nullement critiquable. En effet, les considérations invoquées par cette dernière entrent dans le champ de spécialisation de ces instances cantonales qui ont respectivement pour tâche de veiller aux intérêts publics liés à la préservation de la nature et du paysage et à la mobilité, sans que la commune n'invoque des spécificités locales qu'elle serait seule à préserver. Par ailleurs, la jurisprudence de la chambre de céans n'exige en principe pas que les préavis des instances spécialisées soient motivés ( ATA/414/2017 du 11 avril 2017 consid. 7b, confirmé par l'arrêt du Tribunal fédéral 1C_297/2017 du 6 décembre 2017). Vu que les considérations susmentionnées de la commune sont les raisons que celle-ci invoque pour justifier une densité faible dans le secteur concerné, il ne peut être reproché au département de ne pas les avoir retenues pour refuser l'autorisation litigieuse. À cela s'ajoute le fait - non contesté - que la parcelle n° 3'915 se trouve, au regard du PCom en cours de révision produit par la recourante et plus particulièrement de la carte de la densification en zone 5, en zone constructible située, en partie, dans la zone hachurée relative aux cordons boisés dont l'IUS envisagé est 0,4 et, en partie, dans la zone destinée à la densité modérée avec un IUS admis jusqu'à un taux de 0,48 pour un THPE dans le cadre « d'une stratégie de densification de qualité ». Par conséquent, au vu de l'ensemble des motifs précités, c'est à juste titre que le TAPI a considéré que le département n'a ni abusé ni excédé son pouvoir d'appréciation en autorisant le projet litigieux en dépit du préavis négatif de la commune. Le recours sera donc rejeté, et le jugement querellé ainsi que l'autorisation litigieuse confirmés. 11) Vu l'issue du litige, un émolument de CHF 1'500.- sera mis à la charge de la commune (art. 87 al. 1 LPA). Aucune indemnité de procédure ne sera allouée vu que Swiss-Etics SA n'est pas représentée par un avocat et qu'elle n'y conclut pas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