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A/3954/2023 vom 12. März 2024</w:t>
      </w:r>
    </w:p>
    <w:p>
      <w:r>
        <w:t>GE Cour de justice, 2024-03-12, FR</w:t>
      </w:r>
    </w:p>
    <w:p>
      <w:r>
        <w:rPr>
          <w:b/>
        </w:rPr>
        <w:t xml:space="preserve">Quelle: </w:t>
      </w:r>
      <w:r>
        <w:t>https://mcp.opencaselaw.ch/entscheid/ge_gerichte_A_3954_2023</w:t>
      </w:r>
    </w:p>
    <w:p>
      <w:r>
        <w:t>FR: GE_GERICHTE A/3954/2023 du 12 mars 2024</w:t>
      </w:r>
    </w:p>
    <w:p>
      <w:r>
        <w:t>IT: GE_GERICHTE A/3954/2023 del 12 marzo 2024</w:t>
      </w:r>
    </w:p>
    <w:p>
      <w:pPr>
        <w:pStyle w:val="Heading2"/>
      </w:pPr>
      <w:r>
        <w:t>Erwägungen</w:t>
      </w:r>
    </w:p>
    <w:p>
      <w:r>
        <w:rPr>
          <w:b/>
        </w:rPr>
        <w:t>E. 5</w:t>
      </w:r>
    </w:p>
    <w:p>
      <w:r>
        <w:t>En l’espèce, dans sa décision, le PCTN mentionne uniquement que la recourante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l’intéressée ou d’autres circonstances pourtant nécessaires à l’examen auquel l’autorité intimée aurait dû procéder. La décision retient uniquement que l’infraction moyennement grave rendue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 Au vu de ce qui précède, le recours sera admis partiellement.</w:t>
      </w:r>
    </w:p>
    <w:p>
      <w:r>
        <w:rPr>
          <w:b/>
        </w:rPr>
        <w:t>E. 6</w:t>
      </w:r>
    </w:p>
    <w:p>
      <w:r>
        <w:t>Vu cette issue, aucun émolument ne sera perçu (art. 87 al. 1 LPA). Une indemnité de procédure de CHF 500.- sera allouée à la recourante,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