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A/3954/2020 vom 16. Juni 2021</w:t>
      </w:r>
    </w:p>
    <w:p>
      <w:r>
        <w:t>GE Cour de justice, 2021-06-16, FR</w:t>
      </w:r>
    </w:p>
    <w:p>
      <w:r>
        <w:rPr>
          <w:b/>
        </w:rPr>
        <w:t xml:space="preserve">Quelle: </w:t>
      </w:r>
      <w:r>
        <w:t>https://mcp.opencaselaw.ch/entscheid/ge_gerichte_A_3954_2020</w:t>
      </w:r>
    </w:p>
    <w:p>
      <w:r>
        <w:t>FR: GE_GERICHTE A/3954/2020 du 16 juin 2021</w:t>
      </w:r>
    </w:p>
    <w:p>
      <w:r>
        <w:t>IT: GE_GERICHTE A/3954/2020 del 16 giugno 2021</w:t>
      </w:r>
    </w:p>
    <w:p>
      <w:pPr>
        <w:pStyle w:val="Heading2"/>
      </w:pPr>
      <w:r>
        <w:t>Erwägungen</w:t>
      </w:r>
    </w:p>
    <w:p>
      <w:r>
        <w:rPr>
          <w:b/>
        </w:rPr>
        <w:t>E. 4</w:t>
      </w:r>
    </w:p>
    <w:p>
      <w:r>
        <w:t>ème Chambre En la cause Monsieur A______, domicilié ______, à LES AVANCHETS recourant contre SERVICE DES PRESTATIONS COMPLÉMENTAIRES, sis route de Chêne 54, GENÈVE intimé EN FAIT A. a. Monsieur A______ (ci-après l’intéressé ou le recourant) est né le ______ 1961, divorcé et père de deux enfants, B______, né le ______1984, et C______, née le ______1988. Il est au bénéfice d’une rente d’invalidité depuis le 1 er août 2019, selon une décision de l’office cantonal de l’assurance invalidité du 7 novembre 2019. b. L’intéressé a demandé des prestations complémentaires à l’AVS/AI le 23 décembre 2019. c. Dans le cadre de l’instruction du dossier, il a transmis au service des prestations complémentaires (ci-après le SPC ou l’intimé) un acte de vente, datant de 2006, d’un bien immobilier, le château de D______, situé dans l’Ain, en France, pour le montant de EUR 800'000.- à la société la E______, représentée par Messieurs F______ et B______. d. Le 8 juillet 2020, le SPC a demandé à l’intéressé la copie des justificatifs de la diminution de ses avoirs à la suite de la vente de son bien immobilier. e. Le 30 juillet 2022, l’intéressé a répondu au SPC que son fils ne lui avait jamais versé le prix de la vente de son bien immobilier. B. a. Par décision du 13 août 2020, le SPC a informé qu’il n’avait pas droit aux prestations complémentaires, car les dépenses reconnues étaient entièrement couvertes par le revenu déterminant tant en ce qui concernait les prestations complémentaires fédérales que cantonales. Il ressort des plans de calcul que le SPC a pris en compte, au titre de biens dessaisis, CHF 1'119'176.- de fortune dès le 1 er août 2019 et CHF 1'109'176.- dès le 1 er janvier 2020. Il précisait que les pièces remises faisaient état d’une diminution du patrimoine de l’intéressé dont il était tenu compte dans le calcul du revenu déterminant comme s’il n’y avait pas eu de dessaisissement (donation, diminution non justifiée ou sans contre-prestation équivalente). Le montant retenu avait été réduit de CHF 10'000.- par an dès la deuxième année suivant la date du dessaisissement. b. L’intéressé a formé opposition à la décision précitée le 1 er septembre 2020, faisant valoir que les calculs du SPC étaient erronés, puisque le prix de vente de son bien de EUR 800'000.- ne lui avait jamais été versé par son fils. Au vu de la situation financière difficile de ce dernier, l’intéressé l’avait aidé à payer ses dettes pour qu’il puisse démarrer correctement dans la vie. Ces événements s’étaient passés en 2005, soit plus de 15 ans auparavant. Dans ces circonstances, l’intéressé considérait qu’il ne s’agissait pas d’un dessaisissement. c. Par décision sur opposition du 7 octobre 2020 adressée à l’assuré en pli recommandé, le SPC a rejeté l’opposition à sa décision de prestations complémentaires du 13 août 2020. d. Ce pli lui ayant été retourné le 20 octobre 2020 avec la mention « non réclamé » (délai au 15 octobre), le SPC a renvoyé à l’intéressé, le 22 octobre 2020, une copie de sa décision sur opposition, précisant que cet envoi ne valait pas nouvelle notification. e. Le 2 novembre 2020, le SPC a reçu un courrier au nom de l’intéressé, faisant suite au courrier qui lui avait été adressé le 8 octobre 2020. L’auteur du courrier informait le SPC que l’intéressé était hospitalisé et qu’il ne pouvait de ce fait interjeter recours contre la décision. Il était au bénéfice d’une rente de l’assurance-invalidité qui ne couvrait pas ses besoins vitaux. Vu la situation liée à la pandémie, il était pratiquement impossible d’obtenir un rendez-vous avec un collectif de défense ou un avocat. Il était demandé au SPC d’octroyer les prestations complémentaires à l’intéressé et à la chambre des assurances sociales de lui accorder un délai pour qu’il puisse faire recours contre la décision dès sa sortie d’hôpital. f. Le 27 novembre 2020, le SPC a transmis à la chambre de céans, pour objet de compétence, des courriers que lui avait adressés l’intéressé les 2 et 23 novembre 2020 ainsi que la décision sur opposition du 7 octobre 2020. C. a. Par courrier signé par lui-même le 23 novembre 2020 et adressé à la chambre des assurances sociales le 24 novembre 2020, l’intéressé a informé cette dernière que par courrier du 22 octobre 2020, le SPC lui avait notifié une décision de refus concernant des prestations complémentaires. À ce jour, malgré une demande de prolongation du délai faite par écrit le 2 novembre précédent, il n’avait pas reçu de réponse de sa part. Depuis qu’il avait été victime d’un AVC en 2018 et hospitalisé, il était incapable de s’occuper de ses affaires. Il n’avait pas pu faire recours dans les trente jours, car il avait été hospitalisé en octobre-novembre 2020 et s’était trouvé dans l’impossibilité de sortir pour obtenir un rendez-vous avec un collectif de défense ou un avocat. N’ayant plus eu de nouvelles du SPC suite à sa demande de prolongation de délai, il se voyait dans l’obligation d’interjeter recours contre la décision du 7 octobre 2020. Il demandait la prise en considération de son recours et un délai pour le compléter dès qu’il aurait pu consulter un avocat, ce qui était particulièrement difficile en période de pandémie. b. Le 6 janvier 2021, le SPC a fait valoir que la décision sur opposition du 7 octobre 2020 était réputée avoir été dûment communiquée à l’intéressé le 15 octobre 2020, à l’échéance du délai de garde du pli recommandé. Il n’appartenait pas à l’intimé d’accorder une prolongation de délai pour recourir, raison pour laquelle, il avait transmis les courriers du recourant des 2 et 23 novembre 2020 à la chambre de céans. Concernant les difficultés à obtenir un rendez-vous avec un avocat en raison de la situation sanitaire, elles ne constituaient pas un empêchement de former recours dans le délai imparti, dès lors que le recourant pouvait succinctement exprimer les raisons de son désaccord et demander une prolongation de délai pour compléter son argumentation. La période exacte de l’hospitalisation du recourant n’était pas connue. Malgré son état de santé, il avait été en mesure de charger un tiers, non identifié, d’écrire à l’intimé les courriers des 2 et 23 novembre 2020, étant relevé qu’aucune procuration n’avait été transmise pour justifier des pouvoirs de représentation de ce tiers. Ainsi, le recours pourrait avoir été formé dans le délai de trente jours, si le mandataire avait valablement agi au nom et pour le compte de l’intéressé et que ce dernier démontrait son intention de recourir par le courrier du 2 novembre 2020. Pour qu’il soit recevable, il fallait encore qu’il soit motivé. Si cela n’était pas le cas et que le courrier du 23 novembre 2020 adressé à la chambre de céans valait acte de recours, le SPC concluait à son irrecevabilité. c. Sur demande de la chambre de céans, le docteur G______, lui a confirmé, le 16 mars 2021, que le recourant avait été hospitalisé en octobre 2020. d. Le 26 mars 2021, le recourant a informé la chambre de céans que c’était Madame H______ qui gérait sa correspondance en son absence et qui avait adressé au SPC le courrier recommandé du 2 novembre 2020. Il estimait avoir par son biais démontré le 2 novembre 2020 son intention de recourir et de compléter son recours. Le 23 novembre 2022, il avait confirmé vouloir recourir. En conséquence, il demandait à la chambre de bien vouloir déclarer son recours recevable. Au fond, il contestait la prise en considération dès le 1 er août 2019 d’un bien dessaisi pour le montant de CHF 1'119’176.-. Il y avait eu un contrat de vente signé, mais il n’avait jamais reçu le prix de vente de EUR 800'000.- depuis 2006. Il avait dû intenter une poursuite contre son fils, B______, le 25 février 2019 pour EUR 800'000.- et EUR 50'000.- de frais. Son fils avait formé opposition à la poursuite et le recourant n’avait pas pu continuer la procédure. Il estimait qu’il n’était pas possible de prendre en compte un quelconque montant concernant le bien immobilier qu’il avait vendu, dès lors qu’il n’avait pas reçu de contre-partie et vu les démarches faites auprès de son fils. Lors de sa demande de prestations complémentaires, il avait clairement indiqué qu’il avait des dettes. Il remettait en annexe copie d’un extrait du registre des poursuites du 28 octobre 2019 faisant état de nonante actes de défaut de biens pour un total de CHF 1'481’488.85. Même si le SPC prenait en compte le montant indiqué dans la décision du 1 er septembre 2020, à savoir un produit dessaisi de CHF 1'119'176.- et un capital LPP de CHF 11’466.75, le montant retenu à titre de fortune serait inférieur à l’étendue de ses dettes. C’était donc uniquement un solde négatif qui pouvait être pris en compte le concernant. Ainsi, seule sa rente de l’assurance-invalidité de CHF 14'136.- pouvait être prise en compte dans son revenu déterminant, ce qui lui ouvrait le droit à des prestations complémentaires cantonales et fédérales.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2.1. 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 a) du 7e jour avant Pâques au 7e jour après Pâques inclusivement; b) du 15 juillet au 15 août inclusivement; c) du 18 décembre au 2 janvier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2.2. En l'occurrence, le recourant a reçu un avis l'invitant à retirer son pli recommandé le 17 mai 2018 avec un délai au 15 octobre 2010. N'ayant pas retiré son pli dans ce délai, le pli est réputé avoir été notifié le 15 octobre 2020, soit à l'échéance du délai de garde de sept jours . Le délai de trente jours était en conséquence écoulé le samedi 14 novembre 2020 et le délai pour recourir le premier jour ouvrable suivant, soit le 16 novembre 2020. 2.3. Il convient de déterminer si le courrier adressé le 2 novembre 2020 au SPC, soit dans le délai de recours, peut être considéré comme un recours recevable. 2.3.1. Selon l'art. 61 LPGA, la procédure devant le tribunal cantonal des assurances est réglée par le droit cantonal sous réserve de l'art. 1 al. 3 PA. L'art. 61 let. b LPGA précise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 arrêt 9C_248/2010 du 23 juin 2010, consid. 3.1; voir également UELI KIESER, Bundesgesetz über den Allgemeinen Teil des Sozialversicherungsrechts (ATSG), in: Schweizerisches Bundesverwaltungsrecht [SBVR], Soziale Sicherheit, 2ème éd., n. 193 p. 299). Selon l’art. 9 al. 1 LPA, applicable devant la chambre de céans par renvoi de l’art. 89A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 possession d’un acte émanant d’un mandataire qui ne peut être reconnu, un bref délai doit être accordé à l’administré pour venir signer personnellement et ratifier les actes déposés en son nom, quand bien même cela interviendrait hors délai (ATA/53/ 2015). 2.3.2. En l’espèce, dans la mesure où la chambre de céans n’a pas octroyé de délai à l’intéressé à réception du courrier du 2 novembre 2020 pour le signer et motiver l’acte déposé en son nom et que l’intéressé a signé son recours du 24 novembre 2020 et l’a motivé au fond le 26 mars 2021, le courrier du 2 novembre 2020 doit être considéré comme ratifié et complété par celui-ci et son recours est recevable. 3.        3.1.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3.2. Dans la mesure où il porte sur le droit aux prestations complémentaires dès le 1 er septembre 2020, soit sur une période antérieure à l'entrée en vigueur, le 1 er janvier 2021, des modifications des 22 mars, 20 décembre 2019 et 14 octobre 2020, le présent litige est soumis à l'ancien droit, en l'absence de dispositions transitoires prévoyant une application rétroactive du nouveau droit. Les dispositions légales seront donc citées ci-après dans leur teneur en vigueur jusqu'au 31 décembre 2020. 4.        Le litige porte sur le droit aux prestations complémentaires du recourant dès le 1 er août 2019 et, plus particulièrement, sur le bien-fondé de la prise en considération par le SPC d’un bien dessaisi. 5.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(ATF 123 V 35 consid. 1). Il y a lieu de prendre en compte dans le revenu déterminant tout dessaisissement sans limite de temps (Pierre FERRARI, Dessaisissement volontaire et prestations complémentaires à l'AVS/AI in RSAS 2002, p. 420). À teneur de l'art. 17 a de l'ordonnance sur les prestations complémentaires à l’assurance-vieillesse, survivants et invalidité du 15 janvier 1971 (OPC-AVS/AI - RS 831.301), la part de fortune dessaisie à prendre en compte (art. 11 al. 1 let. g LPC) est réduite chaque année de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Selon l'art. 17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En vertu de l'art. 17 al. 5 OPC-AVS/AI, édicté sur la base de la délégation de compétence prévue à l'art. 3a al. 7 let. b aLPC, en cas de dessaisissement d'un immeuble, à titre onéreux ou gratuit, est déterminante la valeur vénale pour savoir s'il y a renonciation à des parts de fortune au sens de l'art. 3c al. 1 let. g LPC. La valeur vénale d'un immeuble doit reposer sur une valeur officielle ou une valeur reconnue comme telle; au besoin, elle sera établie au moyen d'une estimation (ch. 2110 des directives de l'OFAS concernant les prestations complémentaires à l'AVS/AI [DPC]). C'est la valeur au moment du dessaisissement qui est déterminante (arrêt du Tribunal fédéral des assurances P 9/04 du 7 avril 2004 consid. 3.2). 6.        En l’espèce, en renonçant à obtenir le prix de vente du bien immobilier qu’il a vendu à son fils en 2006, le recourant s’est dessaisi d’une ressource, au sens de l’art. 11 al. 1 let. g LPC. Le prix de vente de ce bien était de EUR 800'000.-, soit CHF 1'239'176.- (EUR 800'000.- x 1.54897 : cours de change pour l’année 2006 selon les directives de l’Office fédéral des assurances sociales). L’intimé a correctement reporté le montant du dessaisissement au 1 er janvier de l’année suivante, soit 1 er janvier 2007, et à CHF 1'119'176.- dès le 1 er août 2019 et à CHF 1'109'176.- dès le 1 er janvier 2020, en tenant compte d’une réduction de CHF 10'000.- par année, en application de l’art. 17a al. 1 OPC-AVS/AI. Il résulte du calcul de l’intimé, qui n’appelle pas la critique, que le revenu déterminant du recourant dès le 1 er août 2019 était supérieur à ses dépenses reconnues tant pour les prestations complémentaires fédérales que cantonales de sorte qu’il n’avait pas droit aux prestations complémentaires. Les démarches faites par le recourant auprès de son fils ne suffisent pas pour estimer qu’il n’a pas renoncé au prix de vente de son bien, dès lors qu’il n’a pas intenté d’action pour faire lever l’opposition que son fils avait formé au commandement de payer qui lui avait été adressé. Le fait que la vente ait eu lieu plus de 15 ans avant la décision querellée ne s’opposait pas à ce que l’intimé en tienne compte, dès lors qu’il peut le faire sans limite de temps selon la doctrine précitée. Enfin, les dettes ne sont pas prises en compte dans l’établissement du droit aux prestations complémentaires, à teneur des art. 10 LPC et 6 al. 1 LPCC. 7.        Il en résulte que la décision sur opposition du 7 octobre 2020 est bien fondée et que le recours doit être rejeté. 8.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