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A/3946/2024 vom 9. September 2025</w:t>
      </w:r>
    </w:p>
    <w:p>
      <w:r>
        <w:t>GE Cour de justice, 2025-09-09, FR</w:t>
      </w:r>
    </w:p>
    <w:p>
      <w:r>
        <w:rPr>
          <w:b/>
        </w:rPr>
        <w:t xml:space="preserve">Quelle: </w:t>
      </w:r>
      <w:r>
        <w:t>https://mcp.opencaselaw.ch/entscheid/ge_gerichte_A_3946_2024</w:t>
      </w:r>
    </w:p>
    <w:p>
      <w:r>
        <w:t>FR: GE_GERICHTE A/3946/2024 du 9 septembre 2025</w:t>
      </w:r>
    </w:p>
    <w:p>
      <w:r>
        <w:t>IT: GE_GERICHTE A/3946/2024 del 9 settembre 2025</w:t>
      </w:r>
    </w:p>
    <w:p>
      <w:pPr>
        <w:pStyle w:val="Heading2"/>
      </w:pPr>
      <w:r>
        <w:t>Erwägungen</w:t>
      </w:r>
    </w:p>
    <w:p>
      <w:r>
        <w:rPr>
          <w:b/>
        </w:rPr>
        <w:t>E. 1</w:t>
      </w:r>
    </w:p>
    <w:p>
      <w:r>
        <w:t>La chambre de céans examine d’office et librement la recevabilité des recours qui lui sont soumis ( ATA/925/2024 du 6 août 2024 consid. 1 ; ATA/602/2024 du 14 mai 2024 consid. 1).</w:t>
      </w:r>
    </w:p>
    <w:p>
      <w:r>
        <w:rPr>
          <w:b/>
        </w:rPr>
        <w:t>E. 2</w:t>
      </w:r>
    </w:p>
    <w:p>
      <w:r>
        <w:t>Se pose la question du respect du délai de recours.</w:t>
      </w:r>
    </w:p>
    <w:p>
      <w:r>
        <w:rPr>
          <w:b/>
        </w:rPr>
        <w:t>E. 2.1</w:t>
      </w:r>
    </w:p>
    <w:p>
      <w:r>
        <w:t>Selon l’art. 62 al. 1 let. a et b de la loi sur la procédure administrative du 12 septembre 1985 (LPA - E 5 10), le délai de recours contre une décision finale est de 30 jours. Il court dès le lendemain de la notification de la décision (art. 62 al. 3 1 re phr. LPA). Une décision est notifiée, non pas au moment où le justiciable en prend connaissance, mais le jour où elle est régulièrement communiquée (ATF 144 IV 57 consid. 2.3.2 ; arrêt du Tribunal fédéral 1C_401/2022 du 29 août 2022 consid. 2.2 ; ATA/541/2022 du 24 mai 2022 consid. 3a). La décision qui n'est remise que contre la signature du destinataire ou d'un tiers habilité est réputée reçue au plus tard sept jours après la première tentative infructueuse de distribution (art. 62 al. 4 LPA), pour autant que son destinataire ait dû s'attendre, avec une certaine vraisemblance, à recevoir une communication de l'autorité, ce qui est le cas chaque fois qu'il est partie à la procédure (arrêt du Tribunal fédéral 6B_239/2011 du 22 mars 2012 consid. 3.5 ; ATA/143/2015 du 3 février 2015 consid. 1b).</w:t>
      </w:r>
    </w:p>
    <w:p>
      <w:r>
        <w:rPr>
          <w:b/>
        </w:rPr>
        <w:t>E. 2.2</w:t>
      </w:r>
    </w:p>
    <w:p>
      <w:r>
        <w:t>Une réexpédition sous pli simple ne fait en principe pas courir un nouveau délai de recours ( ATA/698/2014 du 2 septembre 2014 consid. 4d), sous réserve du principe de la confiance. Un délai peut ainsi se trouver prolongé lorsque, avant la fin du délai, le tribunal communique au plaideur une indication fondant sa confiance ou, par son comportement (contradictoire) éveille cette confiance (art. 5 al. 3 et 9 de la Constitution fédérale de la Confédération suisse du 18 avril 1999 - Cst - RS 101). ; arrêt du Tribunal fédéral 4A_53/2019 du 14 mai 2019 consid. 4.3, publié in Pra 2019 (108) p. 1098 n° 109 et in RSPC 2019 p. 338 n° 2249). Une telle indication peut, entre autres, consister à notifier la décision à nouveau au plaideur, avant la fin du délai, avec une indication sans réserve des voies de droit (ATF 115 Ia 12 ; arrêts du Tribunal fédéral 4A_53/2019 précité consid. 4.4.2 et 5A_25/2020 du 16 avril 2020 consid. 4.1.3). En matière administrative, le Tribunal fédéral a admis que la confiance du justiciable peut être protégée alors même que la tentative de communication qui a, en fin de compte, porté a eu lieu par pli simple (ATF 115 Ia 12 consid. 4a). Selon le Tribunal fédéral, pour éviter toute confusion sur le point de départ du délai de recours, si le tribunal veut opérer une seconde tentative de notification, après que la décision est déjà réputée régulièrement notifiée en raison de la fiction de notification, il suffit de joindre à l'acte une lettre d'accompagnement qui éclaire la situation et exclut d'emblée tout éventuel malentendu concernant le cours du délai, par exemple en ajoutant l'indication selon laquelle il s'agit d'une seconde notification, qui ne change rien à la fiction de notification et au début du cours du délai (arrêt du Tribunal fédéral 5A_25/2020 précité consid. 4.1.3, en matière civile).</w:t>
      </w:r>
    </w:p>
    <w:p>
      <w:r>
        <w:rPr>
          <w:b/>
        </w:rPr>
        <w:t>E. 2.3</w:t>
      </w:r>
    </w:p>
    <w:p>
      <w:r>
        <w:t>En l’espèce, le recourant n’a pas réclamé le pli recommandé contenant le jugement litigieux du 4 mars 2025 et le TAPI lui a envoyé une copie du jugement dont est recours par courrier simple du 20 mars 2025. Selon le timbre humide figurant sur ce courrier, celui-ci aurait été reçu « par porteur le 23 juin 2025 ». Ce courrier mentionnait le premier envoi recommandé, mais ne précisait pas qu’il ne s’agissait pas d’une nouvelle notification ni que le délai de recours figurant dans le jugement remis en annexe avait déjà commencé à courir. Dans ces circonstances, on peut se demander si le recourant, non représenté par avocat, pouvait de bonne foi considérer que le courrier du 20 mars 2025, reçu le 23 juin 2025, valait notification et faisait courir le délai de recours. Cette question peut toutefois souffrir de demeurer indécise pour les motifs qui suivent.</w:t>
      </w:r>
    </w:p>
    <w:p>
      <w:r>
        <w:rPr>
          <w:b/>
        </w:rPr>
        <w:t>E. 3</w:t>
      </w:r>
    </w:p>
    <w:p>
      <w:r>
        <w:t>Est litigieuse l’irrecevabilité du recours formé devant le TAPI pour non-paiement de l’avance de frais dans le délai imparti.</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ATA/242/2025 du 11 mars 2025 consid. 2.1).</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néanmoins une certaine marge d'appréciation à l'autorité judiciaire saisie ( ATA/1043/2021 du 5 octobre 2021 consid. 3b ; ATA/184/2019 du 26 février 2019 consid. 3c).</w:t>
      </w:r>
    </w:p>
    <w:p>
      <w:r>
        <w:rPr>
          <w:b/>
        </w:rPr>
        <w:t>E. 3.3</w:t>
      </w:r>
    </w:p>
    <w:p>
      <w:r>
        <w:t>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 Tombent sous la notion de force majeure les événements extraordinaires et imprévisibles qui surviennent en dehors de la sphère d'activité de l'intéressé et qui s'imposent à lui de façon irrésistible ( ATA/807/2024 du 9 juillet 2024 consid. 4.4 ; ATA/160/2019 du 19 février 2019 consid. 2b).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3.4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rPr>
          <w:b/>
        </w:rPr>
        <w:t>E. 3.5</w:t>
      </w:r>
    </w:p>
    <w:p>
      <w:r>
        <w:t>En l'espèce, le recourant ne conteste pas avoir reçu la demande de paiement de l'avance de frais du TAPI à l’adresse qu’il avait indiquée dans son recours. Il ne remet pas non plus en cause le fait qu’il n’a pas versé le montant requis dans le délai imparti, ni que ledit délai était adéquat. Il n’a pas davantage invoqué de raison qui l'aurait empêché de procéder au paiement de l'avance de frais litigieuse. Dans ses écritures, le recourant remet uniquement en cause le bien-fondé du refus de renouveler son autorisation de séjour. Cette question ne fait toutefois pas l’objet du présent litige, qui porte uniquement sur le non-paiement de l’avance de frais. Le recourant se plaint de ce que sa situation ne justifie pas une « décision aussi lourde conséquence ». Il résulte toutefois de la jurisprudence précitée que la gravité des conséquences du jugement sur sa situation en raison du litige sous-jacent n'est pas pertinente et que la sanction de l'irrecevabilité pour non-paiement de l'avance de frais n'est pas en soi contraire aux art. 29 et 29 a Cst. Mal fondé, le recours sera rejeté, en tant qu’il est recevable. Le présent arrêt rend sans objet la demande d’octroi d’effet suspensif et de mesures provisionnelles.</w:t>
      </w:r>
    </w:p>
    <w:p>
      <w:r>
        <w:rPr>
          <w:b/>
        </w:rPr>
        <w:t>E. 4</w:t>
      </w:r>
    </w:p>
    <w:p>
      <w:r>
        <w:t>Vu l'issue du litige, un émolument de CHF 200.-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